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F0D69" w14:textId="186ED134" w:rsidR="00306D83" w:rsidRPr="00F634F0" w:rsidRDefault="007F602E" w:rsidP="00F634F0">
      <w:pPr>
        <w:pStyle w:val="Heading1"/>
        <w:rPr>
          <w:color w:val="auto"/>
          <w:sz w:val="48"/>
          <w:szCs w:val="48"/>
        </w:rPr>
      </w:pPr>
      <w:r w:rsidRPr="00F634F0">
        <w:rPr>
          <w:color w:val="auto"/>
          <w:sz w:val="48"/>
          <w:szCs w:val="48"/>
        </w:rPr>
        <w:t>Privacy compliance project quarterly report – October to December 2025</w:t>
      </w:r>
    </w:p>
    <w:p w14:paraId="7782D4DF" w14:textId="3ED43FA8" w:rsidR="00DA3A6D" w:rsidRPr="004B6646" w:rsidRDefault="000E439E" w:rsidP="00DA3A6D">
      <w:pPr>
        <w:rPr>
          <w:sz w:val="32"/>
          <w:szCs w:val="32"/>
        </w:rPr>
      </w:pPr>
      <w:r w:rsidRPr="004B6646">
        <w:t>This project provides an opportunity to build and support a culture that prioritises appropriate management and protection of sensitive and personal information.</w:t>
      </w:r>
    </w:p>
    <w:p w14:paraId="7FA5B6A6" w14:textId="52B45A38" w:rsidR="004F50F7" w:rsidRPr="004F50F7" w:rsidRDefault="004F50F7" w:rsidP="004F50F7">
      <w:r w:rsidRPr="00F634F0">
        <w:rPr>
          <w:rStyle w:val="Heading2Char"/>
          <w:b/>
          <w:bCs/>
          <w:color w:val="auto"/>
          <w:sz w:val="22"/>
          <w:szCs w:val="22"/>
        </w:rPr>
        <w:t>Scope:</w:t>
      </w:r>
      <w:r>
        <w:rPr>
          <w:lang w:val="en-GB"/>
        </w:rPr>
        <w:t xml:space="preserve"> </w:t>
      </w:r>
      <w:r w:rsidRPr="004F50F7">
        <w:rPr>
          <w:lang w:val="en-GB"/>
        </w:rPr>
        <w:t>To address the range of issues and the 19 actions that need to be taken to address them as provided for in the Privacy Commissioner's compliance notice dated 26 May.</w:t>
      </w:r>
    </w:p>
    <w:p w14:paraId="135CF179" w14:textId="6F9AF40F" w:rsidR="004F50F7" w:rsidRPr="004F50F7" w:rsidRDefault="004F50F7" w:rsidP="004F50F7">
      <w:r w:rsidRPr="004F50F7">
        <w:rPr>
          <w:lang w:val="en-GB"/>
        </w:rPr>
        <w:t>Including identifying more long-term change management opportunities to affect the organisational culture shift required in relation to privacy.</w:t>
      </w:r>
    </w:p>
    <w:p w14:paraId="6FA86979" w14:textId="42E9113E" w:rsidR="004F50F7" w:rsidRDefault="004F50F7" w:rsidP="004F50F7">
      <w:pPr>
        <w:rPr>
          <w:lang w:val="en-GB"/>
        </w:rPr>
      </w:pPr>
      <w:r w:rsidRPr="00F634F0">
        <w:rPr>
          <w:rStyle w:val="Heading2Char"/>
          <w:b/>
          <w:bCs/>
          <w:color w:val="auto"/>
          <w:sz w:val="22"/>
          <w:szCs w:val="22"/>
        </w:rPr>
        <w:t>Note:</w:t>
      </w:r>
      <w:r w:rsidRPr="004F50F7">
        <w:rPr>
          <w:lang w:val="en-GB"/>
        </w:rPr>
        <w:t xml:space="preserve"> The notice was given in response to repeated notifiable privacy breach reports made under Part 6(1) of the Privacy Act 2020.</w:t>
      </w:r>
    </w:p>
    <w:p w14:paraId="0ABD1A0E" w14:textId="6A40224D" w:rsidR="00632156" w:rsidRPr="00F21AA4" w:rsidRDefault="00F21AA4" w:rsidP="00F21AA4">
      <w:r w:rsidRPr="00F634F0">
        <w:rPr>
          <w:rStyle w:val="Heading2Char"/>
          <w:b/>
          <w:bCs/>
          <w:color w:val="auto"/>
          <w:sz w:val="22"/>
          <w:szCs w:val="22"/>
        </w:rPr>
        <w:t>Project sponsor:</w:t>
      </w:r>
      <w:r w:rsidRPr="00F21AA4">
        <w:rPr>
          <w:lang w:val="en-GB"/>
        </w:rPr>
        <w:t xml:space="preserve"> </w:t>
      </w:r>
      <w:r w:rsidRPr="00F21AA4">
        <w:t>Chief Privacy Officer, DCE System Leadership</w:t>
      </w:r>
    </w:p>
    <w:p w14:paraId="78C7E204" w14:textId="77777777" w:rsidR="00F21AA4" w:rsidRPr="00F21AA4" w:rsidRDefault="00F21AA4" w:rsidP="00F21AA4">
      <w:r w:rsidRPr="00F634F0">
        <w:rPr>
          <w:rStyle w:val="Heading2Char"/>
          <w:b/>
          <w:bCs/>
          <w:color w:val="auto"/>
          <w:sz w:val="22"/>
          <w:szCs w:val="22"/>
        </w:rPr>
        <w:t>Senior responsible owner:</w:t>
      </w:r>
      <w:r w:rsidRPr="00F634F0">
        <w:rPr>
          <w:lang w:val="en-GB"/>
        </w:rPr>
        <w:t xml:space="preserve"> </w:t>
      </w:r>
      <w:r w:rsidRPr="00F21AA4">
        <w:rPr>
          <w:lang w:val="en-GB"/>
        </w:rPr>
        <w:t>Privacy Manager</w:t>
      </w:r>
    </w:p>
    <w:p w14:paraId="6E9B22FB" w14:textId="77777777" w:rsidR="00F21AA4" w:rsidRPr="004F50F7" w:rsidRDefault="00F21AA4" w:rsidP="004F50F7"/>
    <w:p w14:paraId="3CCEBDD7" w14:textId="0A1153DD" w:rsidR="00DA3A6D" w:rsidRPr="00D35E2D" w:rsidRDefault="00C75BDB" w:rsidP="00D35E2D">
      <w:pPr>
        <w:pStyle w:val="Heading2"/>
        <w:rPr>
          <w:b/>
          <w:bCs/>
          <w:color w:val="auto"/>
        </w:rPr>
      </w:pPr>
      <w:r w:rsidRPr="00D35E2D">
        <w:rPr>
          <w:b/>
          <w:bCs/>
          <w:color w:val="auto"/>
        </w:rPr>
        <w:t xml:space="preserve">Status of </w:t>
      </w:r>
      <w:r w:rsidR="006C4A2B" w:rsidRPr="00D35E2D">
        <w:rPr>
          <w:b/>
          <w:bCs/>
          <w:color w:val="auto"/>
        </w:rPr>
        <w:t xml:space="preserve">the </w:t>
      </w:r>
      <w:r w:rsidRPr="00D35E2D">
        <w:rPr>
          <w:b/>
          <w:bCs/>
          <w:color w:val="auto"/>
        </w:rPr>
        <w:t xml:space="preserve">19 actions required by the Office of the Privacy Commissioner, </w:t>
      </w:r>
      <w:r w:rsidR="00A737E9" w:rsidRPr="00D35E2D">
        <w:rPr>
          <w:b/>
          <w:bCs/>
          <w:color w:val="auto"/>
        </w:rPr>
        <w:t xml:space="preserve">in the compliance notice dated </w:t>
      </w:r>
      <w:r w:rsidR="00C2270B" w:rsidRPr="00D35E2D">
        <w:rPr>
          <w:b/>
          <w:bCs/>
          <w:color w:val="auto"/>
        </w:rPr>
        <w:t xml:space="preserve">26 </w:t>
      </w:r>
      <w:r w:rsidR="00A737E9" w:rsidRPr="00D35E2D">
        <w:rPr>
          <w:b/>
          <w:bCs/>
          <w:color w:val="auto"/>
        </w:rPr>
        <w:t>May 2025</w:t>
      </w:r>
    </w:p>
    <w:p w14:paraId="0D1FD108" w14:textId="11754435" w:rsidR="00DA3A6D" w:rsidRDefault="0066350E" w:rsidP="006C4A2B">
      <w:pPr>
        <w:jc w:val="center"/>
        <w:rPr>
          <w:b/>
          <w:bCs/>
          <w:sz w:val="32"/>
          <w:szCs w:val="32"/>
        </w:rPr>
      </w:pPr>
      <w:r w:rsidRPr="0066350E">
        <w:rPr>
          <w:b/>
          <w:bCs/>
          <w:noProof/>
          <w:sz w:val="32"/>
          <w:szCs w:val="32"/>
        </w:rPr>
        <mc:AlternateContent>
          <mc:Choice Requires="cx1">
            <w:drawing>
              <wp:inline distT="0" distB="0" distL="0" distR="0" wp14:anchorId="5AC6701B" wp14:editId="0B0F7B93">
                <wp:extent cx="2189456" cy="2406963"/>
                <wp:effectExtent l="0" t="0" r="1905" b="12700"/>
                <wp:docPr id="1836612194" name="Chart 1" descr="A circular diagram showing 19 actions. Of these 14 actions are closed, an extension has been requested for 2 actions, and 3 actions are due by 30 March.">
                  <a:extLst xmlns:a="http://schemas.openxmlformats.org/drawingml/2006/main">
                    <a:ext uri="{FF2B5EF4-FFF2-40B4-BE49-F238E27FC236}">
                      <a16:creationId xmlns:a16="http://schemas.microsoft.com/office/drawing/2014/main" id="{984BC6CB-E9B6-C62A-509A-43DF86184940}"/>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inline>
            </w:drawing>
          </mc:Choice>
          <mc:Fallback>
            <w:drawing>
              <wp:inline distT="0" distB="0" distL="0" distR="0" wp14:anchorId="5AC6701B" wp14:editId="0B0F7B93">
                <wp:extent cx="2189456" cy="2406963"/>
                <wp:effectExtent l="0" t="0" r="1905" b="12700"/>
                <wp:docPr id="1836612194" name="Chart 1" descr="A circular diagram showing 19 actions. Of these 14 actions are closed, an extension has been requested for 2 actions, and 3 actions are due by 30 March.">
                  <a:extLst xmlns:a="http://schemas.openxmlformats.org/drawingml/2006/main">
                    <a:ext uri="{FF2B5EF4-FFF2-40B4-BE49-F238E27FC236}">
                      <a16:creationId xmlns:a16="http://schemas.microsoft.com/office/drawing/2014/main" id="{984BC6CB-E9B6-C62A-509A-43DF8618494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836612194" name="Chart 1" descr="A circular diagram showing 19 actions. Of these 14 actions are closed, an extension has been requested for 2 actions, and 3 actions are due by 30 March.">
                          <a:extLst>
                            <a:ext uri="{FF2B5EF4-FFF2-40B4-BE49-F238E27FC236}">
                              <a16:creationId xmlns:a16="http://schemas.microsoft.com/office/drawing/2014/main" id="{984BC6CB-E9B6-C62A-509A-43DF86184940}"/>
                            </a:ext>
                          </a:extLst>
                        </pic:cNvPr>
                        <pic:cNvPicPr>
                          <a:picLocks noGrp="1" noRot="1" noChangeAspect="1" noMove="1" noResize="1" noEditPoints="1" noAdjustHandles="1" noChangeArrowheads="1" noChangeShapeType="1"/>
                        </pic:cNvPicPr>
                      </pic:nvPicPr>
                      <pic:blipFill>
                        <a:blip r:embed="rId12"/>
                        <a:stretch>
                          <a:fillRect/>
                        </a:stretch>
                      </pic:blipFill>
                      <pic:spPr>
                        <a:xfrm>
                          <a:off x="0" y="0"/>
                          <a:ext cx="2188845" cy="2406650"/>
                        </a:xfrm>
                        <a:prstGeom prst="rect">
                          <a:avLst/>
                        </a:prstGeom>
                      </pic:spPr>
                    </pic:pic>
                  </a:graphicData>
                </a:graphic>
              </wp:inline>
            </w:drawing>
          </mc:Fallback>
        </mc:AlternateContent>
      </w:r>
    </w:p>
    <w:p w14:paraId="5B757E64" w14:textId="77777777" w:rsidR="007C5173" w:rsidRDefault="007C5173" w:rsidP="00306D83">
      <w:pPr>
        <w:rPr>
          <w:b/>
          <w:bCs/>
          <w:sz w:val="32"/>
          <w:szCs w:val="32"/>
        </w:rPr>
      </w:pPr>
    </w:p>
    <w:p w14:paraId="289F118E" w14:textId="77777777" w:rsidR="00CE1B3F" w:rsidRPr="00D35E2D" w:rsidRDefault="00CE1B3F" w:rsidP="00D35E2D">
      <w:pPr>
        <w:pStyle w:val="Heading2"/>
        <w:rPr>
          <w:b/>
          <w:bCs/>
          <w:color w:val="auto"/>
        </w:rPr>
      </w:pPr>
      <w:r w:rsidRPr="00D35E2D">
        <w:rPr>
          <w:b/>
          <w:bCs/>
          <w:color w:val="auto"/>
        </w:rPr>
        <w:t>Overall project summary and plan for 2026</w:t>
      </w:r>
    </w:p>
    <w:p w14:paraId="79713EB0" w14:textId="77777777" w:rsidR="00CE1B3F" w:rsidRPr="00CE1B3F" w:rsidRDefault="00CE1B3F" w:rsidP="00CE1B3F">
      <w:pPr>
        <w:rPr>
          <w:lang w:val="en-GB"/>
        </w:rPr>
      </w:pPr>
      <w:r w:rsidRPr="00CE1B3F">
        <w:rPr>
          <w:lang w:val="en-GB"/>
        </w:rPr>
        <w:t>The project team has completed its work, and ongoing activities and risks will now be managed by the Chief Privacy Officer and Privacy Manager. This will be done through a refreshed Privacy Improvement Plan, which will be extended to 30 June 2027 to:</w:t>
      </w:r>
    </w:p>
    <w:p w14:paraId="087ED86F" w14:textId="77777777" w:rsidR="00CE1B3F" w:rsidRPr="00CE1B3F" w:rsidRDefault="00CE1B3F" w:rsidP="00CE1B3F">
      <w:pPr>
        <w:numPr>
          <w:ilvl w:val="0"/>
          <w:numId w:val="4"/>
        </w:numPr>
        <w:rPr>
          <w:lang w:val="en-GB"/>
        </w:rPr>
      </w:pPr>
      <w:r w:rsidRPr="00CE1B3F">
        <w:rPr>
          <w:lang w:val="en-GB"/>
        </w:rPr>
        <w:t>Address the remaining actions from the compliance notice.</w:t>
      </w:r>
    </w:p>
    <w:p w14:paraId="0541BC6C" w14:textId="77777777" w:rsidR="00CE1B3F" w:rsidRPr="00CE1B3F" w:rsidRDefault="00CE1B3F" w:rsidP="00CE1B3F">
      <w:pPr>
        <w:numPr>
          <w:ilvl w:val="0"/>
          <w:numId w:val="4"/>
        </w:numPr>
        <w:rPr>
          <w:lang w:val="en-GB"/>
        </w:rPr>
      </w:pPr>
      <w:r w:rsidRPr="00CE1B3F">
        <w:rPr>
          <w:lang w:val="en-GB"/>
        </w:rPr>
        <w:lastRenderedPageBreak/>
        <w:t>Continue post-project activities, primarily focused on monitoring privacy requirements and improving organisational processes.</w:t>
      </w:r>
    </w:p>
    <w:p w14:paraId="45E62126" w14:textId="77777777" w:rsidR="00CE1B3F" w:rsidRPr="00CE1B3F" w:rsidRDefault="00CE1B3F" w:rsidP="00CE1B3F">
      <w:pPr>
        <w:numPr>
          <w:ilvl w:val="0"/>
          <w:numId w:val="4"/>
        </w:numPr>
        <w:rPr>
          <w:lang w:val="en-GB"/>
        </w:rPr>
      </w:pPr>
      <w:r w:rsidRPr="00CE1B3F">
        <w:rPr>
          <w:lang w:val="en-GB"/>
        </w:rPr>
        <w:t>Develop and implement a framework and supporting technological tools for assurance activities.</w:t>
      </w:r>
    </w:p>
    <w:p w14:paraId="25FD6680" w14:textId="2EFCE3E6" w:rsidR="007C5173" w:rsidRPr="00FC5607" w:rsidRDefault="00CE1B3F" w:rsidP="00FC5607">
      <w:pPr>
        <w:numPr>
          <w:ilvl w:val="0"/>
          <w:numId w:val="4"/>
        </w:numPr>
        <w:rPr>
          <w:lang w:val="en-GB"/>
        </w:rPr>
      </w:pPr>
      <w:r w:rsidRPr="00CE1B3F">
        <w:rPr>
          <w:lang w:val="en-GB"/>
        </w:rPr>
        <w:t>Place greater emphasis on consistent communication about privacy across the organisation.</w:t>
      </w:r>
    </w:p>
    <w:p w14:paraId="71CE5567" w14:textId="70382EEB" w:rsidR="00E96759" w:rsidRPr="00D35E2D" w:rsidRDefault="00E96759" w:rsidP="00D35E2D">
      <w:pPr>
        <w:pStyle w:val="Heading2"/>
        <w:rPr>
          <w:b/>
          <w:bCs/>
          <w:color w:val="auto"/>
        </w:rPr>
      </w:pPr>
      <w:r w:rsidRPr="00D35E2D">
        <w:rPr>
          <w:b/>
          <w:bCs/>
          <w:color w:val="auto"/>
        </w:rPr>
        <w:t xml:space="preserve">Overall project summary for </w:t>
      </w:r>
      <w:r w:rsidR="003F77B9" w:rsidRPr="00D35E2D">
        <w:rPr>
          <w:b/>
          <w:bCs/>
          <w:color w:val="auto"/>
        </w:rPr>
        <w:t>period Oct – Dec 2025</w:t>
      </w:r>
    </w:p>
    <w:tbl>
      <w:tblPr>
        <w:tblW w:w="10348" w:type="dxa"/>
        <w:tblInd w:w="-577" w:type="dxa"/>
        <w:tblCellMar>
          <w:left w:w="0" w:type="dxa"/>
          <w:right w:w="0" w:type="dxa"/>
        </w:tblCellMar>
        <w:tblLook w:val="0420" w:firstRow="1" w:lastRow="0" w:firstColumn="0" w:lastColumn="0" w:noHBand="0" w:noVBand="1"/>
      </w:tblPr>
      <w:tblGrid>
        <w:gridCol w:w="141"/>
        <w:gridCol w:w="1727"/>
        <w:gridCol w:w="573"/>
        <w:gridCol w:w="7617"/>
        <w:gridCol w:w="290"/>
      </w:tblGrid>
      <w:tr w:rsidR="000C0013" w:rsidRPr="000C0013" w14:paraId="016A2168" w14:textId="77777777" w:rsidTr="00D35E2D">
        <w:trPr>
          <w:gridAfter w:val="1"/>
          <w:wAfter w:w="290" w:type="dxa"/>
          <w:trHeight w:val="433"/>
        </w:trPr>
        <w:tc>
          <w:tcPr>
            <w:tcW w:w="1868"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75AF5DF0" w14:textId="77777777" w:rsidR="000C0013" w:rsidRPr="000C0013" w:rsidRDefault="000C0013" w:rsidP="000C0013">
            <w:r w:rsidRPr="000C0013">
              <w:rPr>
                <w:b/>
                <w:bCs/>
              </w:rPr>
              <w:t>Project objective</w:t>
            </w:r>
          </w:p>
        </w:tc>
        <w:tc>
          <w:tcPr>
            <w:tcW w:w="8190" w:type="dxa"/>
            <w:gridSpan w:val="2"/>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63B3BD18" w14:textId="73C19261" w:rsidR="000C0013" w:rsidRPr="000C0013" w:rsidRDefault="00B80079" w:rsidP="000C0013">
            <w:r>
              <w:rPr>
                <w:b/>
                <w:bCs/>
              </w:rPr>
              <w:t>Summary for period Oct – Dec 2025</w:t>
            </w:r>
          </w:p>
        </w:tc>
      </w:tr>
      <w:tr w:rsidR="000C0013" w:rsidRPr="000C0013" w14:paraId="1A44285E" w14:textId="77777777" w:rsidTr="00D35E2D">
        <w:trPr>
          <w:gridAfter w:val="1"/>
          <w:wAfter w:w="290" w:type="dxa"/>
          <w:trHeight w:val="1154"/>
        </w:trPr>
        <w:tc>
          <w:tcPr>
            <w:tcW w:w="1868" w:type="dxa"/>
            <w:gridSpan w:val="2"/>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5F904488" w14:textId="77777777" w:rsidR="000C0013" w:rsidRPr="000C0013" w:rsidRDefault="000C0013" w:rsidP="000C0013">
            <w:proofErr w:type="spellStart"/>
            <w:r w:rsidRPr="000C0013">
              <w:rPr>
                <w:b/>
                <w:bCs/>
              </w:rPr>
              <w:t>i</w:t>
            </w:r>
            <w:proofErr w:type="spellEnd"/>
            <w:r w:rsidRPr="000C0013">
              <w:rPr>
                <w:b/>
                <w:bCs/>
              </w:rPr>
              <w:t>. Uplift staff skills and capability summary:</w:t>
            </w:r>
          </w:p>
          <w:p w14:paraId="3CA206A0" w14:textId="77777777" w:rsidR="000C0013" w:rsidRPr="000C0013" w:rsidRDefault="000C0013" w:rsidP="000C0013">
            <w:r w:rsidRPr="000C0013">
              <w:t xml:space="preserve">Actions 1, 2, 3 and 4 </w:t>
            </w:r>
          </w:p>
        </w:tc>
        <w:tc>
          <w:tcPr>
            <w:tcW w:w="8190" w:type="dxa"/>
            <w:gridSpan w:val="2"/>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2EE4F8AD" w14:textId="77777777" w:rsidR="000C0013" w:rsidRPr="000C0013" w:rsidRDefault="000C0013" w:rsidP="000C0013">
            <w:r w:rsidRPr="000C0013">
              <w:t>Actions 2, 3 and 4 now closed.</w:t>
            </w:r>
          </w:p>
          <w:p w14:paraId="2124C271" w14:textId="77777777" w:rsidR="000C0013" w:rsidRPr="000C0013" w:rsidRDefault="000C0013" w:rsidP="000C0013">
            <w:r w:rsidRPr="000C0013">
              <w:rPr>
                <w:lang w:val="en-US"/>
              </w:rPr>
              <w:t xml:space="preserve">Action 1 - scheduled </w:t>
            </w:r>
            <w:proofErr w:type="gramStart"/>
            <w:r w:rsidRPr="000C0013">
              <w:rPr>
                <w:lang w:val="en-US"/>
              </w:rPr>
              <w:t>trainings</w:t>
            </w:r>
            <w:proofErr w:type="gramEnd"/>
            <w:r w:rsidRPr="000C0013">
              <w:rPr>
                <w:lang w:val="en-US"/>
              </w:rPr>
              <w:t xml:space="preserve"> (due March 2026) </w:t>
            </w:r>
            <w:proofErr w:type="gramStart"/>
            <w:r w:rsidRPr="000C0013">
              <w:rPr>
                <w:lang w:val="en-US"/>
              </w:rPr>
              <w:t>are</w:t>
            </w:r>
            <w:proofErr w:type="gramEnd"/>
            <w:r w:rsidRPr="000C0013">
              <w:rPr>
                <w:lang w:val="en-US"/>
              </w:rPr>
              <w:t xml:space="preserve"> progressing well with 57 completed. The attendance survey has been sent to 779 attendees; to date, the overall feedback has been positive with most saying the training was relevant and 80 percent said very relevant to their mahi.</w:t>
            </w:r>
          </w:p>
        </w:tc>
      </w:tr>
      <w:tr w:rsidR="000C0013" w:rsidRPr="000C0013" w14:paraId="06A7485A" w14:textId="77777777" w:rsidTr="00D35E2D">
        <w:trPr>
          <w:gridAfter w:val="1"/>
          <w:wAfter w:w="290" w:type="dxa"/>
          <w:trHeight w:val="2789"/>
        </w:trPr>
        <w:tc>
          <w:tcPr>
            <w:tcW w:w="1868" w:type="dxa"/>
            <w:gridSpan w:val="2"/>
            <w:tcBorders>
              <w:top w:val="single" w:sz="8" w:space="0" w:color="FFFFFF"/>
              <w:left w:val="single" w:sz="8" w:space="0" w:color="FFFFFF"/>
              <w:bottom w:val="single" w:sz="8" w:space="0" w:color="FFFFFF"/>
              <w:right w:val="single" w:sz="8" w:space="0" w:color="FFFFFF"/>
            </w:tcBorders>
            <w:shd w:val="clear" w:color="auto" w:fill="CCDAEC"/>
            <w:tcMar>
              <w:top w:w="72" w:type="dxa"/>
              <w:left w:w="144" w:type="dxa"/>
              <w:bottom w:w="72" w:type="dxa"/>
              <w:right w:w="144" w:type="dxa"/>
            </w:tcMar>
            <w:hideMark/>
          </w:tcPr>
          <w:p w14:paraId="43CD6448" w14:textId="77777777" w:rsidR="000C0013" w:rsidRPr="000C0013" w:rsidRDefault="000C0013" w:rsidP="000C0013">
            <w:r w:rsidRPr="000C0013">
              <w:rPr>
                <w:b/>
                <w:bCs/>
              </w:rPr>
              <w:t>ii. Strengthen information access settings summary:</w:t>
            </w:r>
          </w:p>
          <w:p w14:paraId="398CF898" w14:textId="77777777" w:rsidR="000C0013" w:rsidRPr="000C0013" w:rsidRDefault="000C0013" w:rsidP="000C0013">
            <w:r w:rsidRPr="000C0013">
              <w:rPr>
                <w:lang w:val="en-US"/>
              </w:rPr>
              <w:t>Actions 5, 6, 7, 8, 9 and 10</w:t>
            </w:r>
          </w:p>
        </w:tc>
        <w:tc>
          <w:tcPr>
            <w:tcW w:w="8190" w:type="dxa"/>
            <w:gridSpan w:val="2"/>
            <w:tcBorders>
              <w:top w:val="single" w:sz="8" w:space="0" w:color="FFFFFF"/>
              <w:left w:val="single" w:sz="8" w:space="0" w:color="FFFFFF"/>
              <w:bottom w:val="single" w:sz="8" w:space="0" w:color="FFFFFF"/>
              <w:right w:val="single" w:sz="8" w:space="0" w:color="FFFFFF"/>
            </w:tcBorders>
            <w:shd w:val="clear" w:color="auto" w:fill="CCDAEC"/>
            <w:tcMar>
              <w:top w:w="72" w:type="dxa"/>
              <w:left w:w="144" w:type="dxa"/>
              <w:bottom w:w="72" w:type="dxa"/>
              <w:right w:w="144" w:type="dxa"/>
            </w:tcMar>
            <w:hideMark/>
          </w:tcPr>
          <w:p w14:paraId="7029C245" w14:textId="77777777" w:rsidR="000C0013" w:rsidRPr="000C0013" w:rsidRDefault="000C0013" w:rsidP="000C0013">
            <w:r w:rsidRPr="000C0013">
              <w:rPr>
                <w:lang w:val="en-US"/>
              </w:rPr>
              <w:t xml:space="preserve">Actions 5, 6, 9 and 10 </w:t>
            </w:r>
            <w:proofErr w:type="gramStart"/>
            <w:r w:rsidRPr="000C0013">
              <w:rPr>
                <w:lang w:val="en-US"/>
              </w:rPr>
              <w:t>now</w:t>
            </w:r>
            <w:proofErr w:type="gramEnd"/>
            <w:r w:rsidRPr="000C0013">
              <w:rPr>
                <w:lang w:val="en-US"/>
              </w:rPr>
              <w:t xml:space="preserve"> closed.</w:t>
            </w:r>
          </w:p>
          <w:p w14:paraId="0D0ED638" w14:textId="77777777" w:rsidR="000C0013" w:rsidRPr="000C0013" w:rsidRDefault="000C0013" w:rsidP="000C0013">
            <w:r w:rsidRPr="000C0013">
              <w:rPr>
                <w:lang w:val="en-US"/>
              </w:rPr>
              <w:t xml:space="preserve">An extension for Action 7 has been requested: </w:t>
            </w:r>
          </w:p>
          <w:p w14:paraId="0D3CCD48" w14:textId="77777777" w:rsidR="000C0013" w:rsidRPr="000C0013" w:rsidRDefault="000C0013" w:rsidP="000C0013">
            <w:pPr>
              <w:numPr>
                <w:ilvl w:val="0"/>
                <w:numId w:val="5"/>
              </w:numPr>
            </w:pPr>
            <w:proofErr w:type="gramStart"/>
            <w:r w:rsidRPr="000C0013">
              <w:rPr>
                <w:lang w:val="en-US"/>
              </w:rPr>
              <w:t>the</w:t>
            </w:r>
            <w:proofErr w:type="gramEnd"/>
            <w:r w:rsidRPr="000C0013">
              <w:rPr>
                <w:lang w:val="en-US"/>
              </w:rPr>
              <w:t xml:space="preserve"> taskforce to clear the backlog of Customer Information Requests has been recruited.</w:t>
            </w:r>
          </w:p>
          <w:p w14:paraId="709BF9B4" w14:textId="77777777" w:rsidR="000C0013" w:rsidRPr="000C0013" w:rsidRDefault="000C0013" w:rsidP="000C0013">
            <w:pPr>
              <w:numPr>
                <w:ilvl w:val="0"/>
                <w:numId w:val="5"/>
              </w:numPr>
            </w:pPr>
            <w:r w:rsidRPr="000C0013">
              <w:rPr>
                <w:lang w:val="en-US"/>
              </w:rPr>
              <w:t>Additional funding to extend the taskforce beyond 30 June 2026 and increase is further is being sought. </w:t>
            </w:r>
          </w:p>
          <w:p w14:paraId="2AC75139" w14:textId="77777777" w:rsidR="000C0013" w:rsidRPr="000C0013" w:rsidRDefault="000C0013" w:rsidP="000C0013">
            <w:pPr>
              <w:numPr>
                <w:ilvl w:val="0"/>
                <w:numId w:val="5"/>
              </w:numPr>
            </w:pPr>
            <w:r w:rsidRPr="000C0013">
              <w:rPr>
                <w:lang w:val="en-US"/>
              </w:rPr>
              <w:t>Scanner procurement will be completed in February/March 2026.</w:t>
            </w:r>
          </w:p>
          <w:p w14:paraId="3B83C1A9" w14:textId="77777777" w:rsidR="000C0013" w:rsidRPr="000C0013" w:rsidRDefault="000C0013" w:rsidP="000C0013">
            <w:pPr>
              <w:numPr>
                <w:ilvl w:val="0"/>
                <w:numId w:val="5"/>
              </w:numPr>
            </w:pPr>
            <w:r w:rsidRPr="000C0013">
              <w:t>Commissioned work to explore technological opportunities for increasing process efficiency has commenced.</w:t>
            </w:r>
          </w:p>
          <w:p w14:paraId="48A954F3" w14:textId="77777777" w:rsidR="000C0013" w:rsidRPr="000C0013" w:rsidRDefault="000C0013" w:rsidP="000C0013">
            <w:r w:rsidRPr="000C0013">
              <w:rPr>
                <w:lang w:val="en-US"/>
              </w:rPr>
              <w:t>In this way, the risk that information response times remain outside required limits is being addressed, but a permanent solution has yet to be found.</w:t>
            </w:r>
          </w:p>
          <w:p w14:paraId="232CBEFA" w14:textId="77777777" w:rsidR="000C0013" w:rsidRPr="000C0013" w:rsidRDefault="000C0013" w:rsidP="000C0013">
            <w:r w:rsidRPr="000C0013">
              <w:rPr>
                <w:lang w:val="en-US"/>
              </w:rPr>
              <w:t xml:space="preserve">Under Action 8, all remaining role-based tasks will be delivered through the FTSU </w:t>
            </w:r>
            <w:proofErr w:type="spellStart"/>
            <w:r w:rsidRPr="000C0013">
              <w:rPr>
                <w:lang w:val="en-US"/>
              </w:rPr>
              <w:t>programme</w:t>
            </w:r>
            <w:proofErr w:type="spellEnd"/>
            <w:r w:rsidRPr="000C0013">
              <w:rPr>
                <w:lang w:val="en-US"/>
              </w:rPr>
              <w:t>.</w:t>
            </w:r>
          </w:p>
        </w:tc>
      </w:tr>
      <w:tr w:rsidR="000C0013" w:rsidRPr="000C0013" w14:paraId="726F5E31" w14:textId="77777777" w:rsidTr="00D35E2D">
        <w:trPr>
          <w:gridAfter w:val="1"/>
          <w:wAfter w:w="290" w:type="dxa"/>
          <w:trHeight w:val="1154"/>
        </w:trPr>
        <w:tc>
          <w:tcPr>
            <w:tcW w:w="1868" w:type="dxa"/>
            <w:gridSpan w:val="2"/>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5A8F5BC4" w14:textId="77777777" w:rsidR="000C0013" w:rsidRPr="000C0013" w:rsidRDefault="000C0013" w:rsidP="000C0013">
            <w:r w:rsidRPr="000C0013">
              <w:rPr>
                <w:b/>
                <w:bCs/>
              </w:rPr>
              <w:t>iii. Strengthen oversight of service providers summary:</w:t>
            </w:r>
          </w:p>
          <w:p w14:paraId="48C05B73" w14:textId="77777777" w:rsidR="000C0013" w:rsidRPr="000C0013" w:rsidRDefault="000C0013" w:rsidP="000C0013">
            <w:r w:rsidRPr="000C0013">
              <w:t>Actions 11, 12 and 13.</w:t>
            </w:r>
          </w:p>
        </w:tc>
        <w:tc>
          <w:tcPr>
            <w:tcW w:w="8190" w:type="dxa"/>
            <w:gridSpan w:val="2"/>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16811E2D" w14:textId="77777777" w:rsidR="000C0013" w:rsidRPr="000C0013" w:rsidRDefault="000C0013" w:rsidP="000C0013">
            <w:r w:rsidRPr="000C0013">
              <w:t xml:space="preserve">These actions are now closed. First </w:t>
            </w:r>
            <w:r w:rsidRPr="000C0013">
              <w:rPr>
                <w:lang w:val="en-US"/>
              </w:rPr>
              <w:t xml:space="preserve">189 </w:t>
            </w:r>
            <w:proofErr w:type="gramStart"/>
            <w:r w:rsidRPr="000C0013">
              <w:rPr>
                <w:lang w:val="en-US"/>
              </w:rPr>
              <w:t>contract</w:t>
            </w:r>
            <w:proofErr w:type="gramEnd"/>
            <w:r w:rsidRPr="000C0013">
              <w:rPr>
                <w:lang w:val="en-US"/>
              </w:rPr>
              <w:t xml:space="preserve"> renewed with strengthened privacy clauses. Contracts will be updated as they come up for renewal, and we will continue to report on this via the refreshed Privacy Improvement Plan. Action 13 – the auditing processes in place presented and discussed with the OPC.</w:t>
            </w:r>
          </w:p>
        </w:tc>
      </w:tr>
      <w:tr w:rsidR="000C0013" w:rsidRPr="000C0013" w14:paraId="6499BEAB" w14:textId="77777777" w:rsidTr="00D35E2D">
        <w:trPr>
          <w:gridBefore w:val="1"/>
          <w:wBefore w:w="141" w:type="dxa"/>
          <w:trHeight w:val="476"/>
        </w:trPr>
        <w:tc>
          <w:tcPr>
            <w:tcW w:w="2300" w:type="dxa"/>
            <w:gridSpan w:val="2"/>
            <w:tcBorders>
              <w:top w:val="single" w:sz="8" w:space="0" w:color="FFFFFF"/>
              <w:left w:val="single" w:sz="8" w:space="0" w:color="FFFFFF"/>
              <w:bottom w:val="single" w:sz="8" w:space="0" w:color="FFFFFF"/>
              <w:right w:val="single" w:sz="8" w:space="0" w:color="FFFFFF"/>
            </w:tcBorders>
            <w:shd w:val="clear" w:color="auto" w:fill="CCDAEC"/>
            <w:tcMar>
              <w:top w:w="72" w:type="dxa"/>
              <w:left w:w="144" w:type="dxa"/>
              <w:bottom w:w="72" w:type="dxa"/>
              <w:right w:w="144" w:type="dxa"/>
            </w:tcMar>
            <w:hideMark/>
          </w:tcPr>
          <w:p w14:paraId="357D6055" w14:textId="77777777" w:rsidR="000C0013" w:rsidRPr="000C0013" w:rsidRDefault="000C0013" w:rsidP="000C0013">
            <w:r w:rsidRPr="000C0013">
              <w:rPr>
                <w:b/>
                <w:bCs/>
              </w:rPr>
              <w:lastRenderedPageBreak/>
              <w:t>iv. Strengthen accountability and reporting of privacy incidents summary:</w:t>
            </w:r>
          </w:p>
          <w:p w14:paraId="25E57153" w14:textId="77777777" w:rsidR="000C0013" w:rsidRPr="000C0013" w:rsidRDefault="000C0013" w:rsidP="000C0013">
            <w:r w:rsidRPr="000C0013">
              <w:rPr>
                <w:lang w:val="en-US"/>
              </w:rPr>
              <w:t>Actions 14- 19.</w:t>
            </w:r>
          </w:p>
        </w:tc>
        <w:tc>
          <w:tcPr>
            <w:tcW w:w="7907" w:type="dxa"/>
            <w:gridSpan w:val="2"/>
            <w:tcBorders>
              <w:top w:val="single" w:sz="8" w:space="0" w:color="FFFFFF"/>
              <w:left w:val="single" w:sz="8" w:space="0" w:color="FFFFFF"/>
              <w:bottom w:val="single" w:sz="8" w:space="0" w:color="FFFFFF"/>
              <w:right w:val="single" w:sz="8" w:space="0" w:color="FFFFFF"/>
            </w:tcBorders>
            <w:shd w:val="clear" w:color="auto" w:fill="CCDAEC"/>
            <w:tcMar>
              <w:top w:w="72" w:type="dxa"/>
              <w:left w:w="144" w:type="dxa"/>
              <w:bottom w:w="72" w:type="dxa"/>
              <w:right w:w="144" w:type="dxa"/>
            </w:tcMar>
            <w:hideMark/>
          </w:tcPr>
          <w:p w14:paraId="6E394BD3" w14:textId="77777777" w:rsidR="000C0013" w:rsidRPr="000C0013" w:rsidRDefault="000C0013" w:rsidP="000C0013">
            <w:r w:rsidRPr="000C0013">
              <w:rPr>
                <w:lang w:val="en-US"/>
              </w:rPr>
              <w:t>Actions 14, 15, 16 and 17 are now closed.</w:t>
            </w:r>
          </w:p>
          <w:p w14:paraId="271ED337" w14:textId="77777777" w:rsidR="000C0013" w:rsidRPr="000C0013" w:rsidRDefault="000C0013" w:rsidP="000C0013">
            <w:r w:rsidRPr="000C0013">
              <w:rPr>
                <w:lang w:val="en-US"/>
              </w:rPr>
              <w:t xml:space="preserve">Actions 18 and 19 – technological elements supporting these actions are addressed in the refreshed Privacy Improvement Plan (see below). The draft business case (BC) for increased </w:t>
            </w:r>
            <w:proofErr w:type="gramStart"/>
            <w:r w:rsidRPr="000C0013">
              <w:rPr>
                <w:lang w:val="en-US"/>
              </w:rPr>
              <w:t>resource</w:t>
            </w:r>
            <w:proofErr w:type="gramEnd"/>
            <w:r w:rsidRPr="000C0013">
              <w:rPr>
                <w:lang w:val="en-US"/>
              </w:rPr>
              <w:t xml:space="preserve"> in the Privacy team was discussed by PSG but has been put on hold until more complex </w:t>
            </w:r>
            <w:proofErr w:type="spellStart"/>
            <w:r w:rsidRPr="000C0013">
              <w:rPr>
                <w:lang w:val="en-US"/>
              </w:rPr>
              <w:t>reorganisation</w:t>
            </w:r>
            <w:proofErr w:type="spellEnd"/>
            <w:r w:rsidRPr="000C0013">
              <w:rPr>
                <w:lang w:val="en-US"/>
              </w:rPr>
              <w:t xml:space="preserve"> of the </w:t>
            </w:r>
            <w:proofErr w:type="spellStart"/>
            <w:r w:rsidRPr="000C0013">
              <w:rPr>
                <w:lang w:val="en-US"/>
              </w:rPr>
              <w:t>Oranga</w:t>
            </w:r>
            <w:proofErr w:type="spellEnd"/>
            <w:r w:rsidRPr="000C0013">
              <w:rPr>
                <w:lang w:val="en-US"/>
              </w:rPr>
              <w:t xml:space="preserve"> Tamariki resources. An extension for action 18 has therefore been requested.</w:t>
            </w:r>
          </w:p>
        </w:tc>
      </w:tr>
    </w:tbl>
    <w:p w14:paraId="43CE9842" w14:textId="77777777" w:rsidR="00CE1B3F" w:rsidRPr="00CE1B3F" w:rsidRDefault="00CE1B3F" w:rsidP="002878D4">
      <w:pPr>
        <w:rPr>
          <w:lang w:val="en-GB"/>
        </w:rPr>
      </w:pPr>
    </w:p>
    <w:p w14:paraId="41BF988F" w14:textId="321CB136" w:rsidR="00CE1B3F" w:rsidRPr="00FC5607" w:rsidRDefault="003F77B9" w:rsidP="00FC5607">
      <w:pPr>
        <w:pStyle w:val="Heading2"/>
        <w:rPr>
          <w:b/>
          <w:bCs/>
          <w:color w:val="auto"/>
        </w:rPr>
      </w:pPr>
      <w:r w:rsidRPr="00FC5607">
        <w:rPr>
          <w:b/>
          <w:bCs/>
          <w:color w:val="auto"/>
        </w:rPr>
        <w:t>Updates by action</w:t>
      </w:r>
      <w:r w:rsidR="00FC1E30" w:rsidRPr="00FC5607">
        <w:rPr>
          <w:b/>
          <w:bCs/>
          <w:color w:val="auto"/>
        </w:rPr>
        <w:t>:</w:t>
      </w:r>
      <w:r w:rsidR="009269A8" w:rsidRPr="00FC5607">
        <w:rPr>
          <w:b/>
          <w:bCs/>
          <w:color w:val="auto"/>
        </w:rPr>
        <w:t xml:space="preserve"> Oct – Dec 2025</w:t>
      </w:r>
    </w:p>
    <w:tbl>
      <w:tblPr>
        <w:tblW w:w="10207" w:type="dxa"/>
        <w:tblInd w:w="-436" w:type="dxa"/>
        <w:tblCellMar>
          <w:left w:w="0" w:type="dxa"/>
          <w:right w:w="0" w:type="dxa"/>
        </w:tblCellMar>
        <w:tblLook w:val="0400" w:firstRow="0" w:lastRow="0" w:firstColumn="0" w:lastColumn="0" w:noHBand="0" w:noVBand="1"/>
      </w:tblPr>
      <w:tblGrid>
        <w:gridCol w:w="3313"/>
        <w:gridCol w:w="5466"/>
        <w:gridCol w:w="1428"/>
      </w:tblGrid>
      <w:tr w:rsidR="007705DE" w:rsidRPr="007705DE" w14:paraId="677B6250" w14:textId="77777777" w:rsidTr="00FC5607">
        <w:trPr>
          <w:trHeight w:val="657"/>
          <w:tblHeader/>
        </w:trPr>
        <w:tc>
          <w:tcPr>
            <w:tcW w:w="3313"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4AAC380C" w14:textId="77777777" w:rsidR="007705DE" w:rsidRPr="007705DE" w:rsidRDefault="007705DE" w:rsidP="007705DE">
            <w:pPr>
              <w:rPr>
                <w:b/>
                <w:bCs/>
              </w:rPr>
            </w:pPr>
            <w:r w:rsidRPr="007705DE">
              <w:rPr>
                <w:b/>
                <w:bCs/>
              </w:rPr>
              <w:t>Uplift staff skills and capability actions</w:t>
            </w:r>
          </w:p>
        </w:tc>
        <w:tc>
          <w:tcPr>
            <w:tcW w:w="5466"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4BEF0A43" w14:textId="77777777" w:rsidR="007705DE" w:rsidRPr="007705DE" w:rsidRDefault="007705DE" w:rsidP="007705DE">
            <w:pPr>
              <w:rPr>
                <w:b/>
                <w:bCs/>
              </w:rPr>
            </w:pPr>
            <w:r w:rsidRPr="007705DE">
              <w:rPr>
                <w:b/>
                <w:bCs/>
              </w:rPr>
              <w:t>Update against actions - see next slide for detail on closed actions</w:t>
            </w:r>
          </w:p>
        </w:tc>
        <w:tc>
          <w:tcPr>
            <w:tcW w:w="1428"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2C698761" w14:textId="77777777" w:rsidR="007705DE" w:rsidRPr="007705DE" w:rsidRDefault="007705DE" w:rsidP="007705DE">
            <w:pPr>
              <w:rPr>
                <w:b/>
                <w:bCs/>
              </w:rPr>
            </w:pPr>
            <w:r w:rsidRPr="007705DE">
              <w:rPr>
                <w:b/>
                <w:bCs/>
              </w:rPr>
              <w:t>Due date</w:t>
            </w:r>
          </w:p>
        </w:tc>
      </w:tr>
      <w:tr w:rsidR="007705DE" w:rsidRPr="007705DE" w14:paraId="6ACE399C" w14:textId="77777777" w:rsidTr="0049729E">
        <w:trPr>
          <w:trHeight w:val="1446"/>
        </w:trPr>
        <w:tc>
          <w:tcPr>
            <w:tcW w:w="3313" w:type="dxa"/>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03777B3F" w14:textId="77777777" w:rsidR="007705DE" w:rsidRPr="007705DE" w:rsidRDefault="007705DE" w:rsidP="007705DE">
            <w:r w:rsidRPr="007705DE">
              <w:t>Item 1(a</w:t>
            </w:r>
            <w:proofErr w:type="gramStart"/>
            <w:r w:rsidRPr="007705DE">
              <w:t>)(</w:t>
            </w:r>
            <w:proofErr w:type="gramEnd"/>
            <w:r w:rsidRPr="007705DE">
              <w:t xml:space="preserve">1-4): Provide direction to staff on the interaction of the Privacy Act with the Family Violence Act and the </w:t>
            </w:r>
            <w:proofErr w:type="spellStart"/>
            <w:r w:rsidRPr="007705DE">
              <w:t>Oranga</w:t>
            </w:r>
            <w:proofErr w:type="spellEnd"/>
            <w:r w:rsidRPr="007705DE">
              <w:t xml:space="preserve"> Tamariki Act and any associated regulations (Action 1) </w:t>
            </w:r>
          </w:p>
          <w:p w14:paraId="19BFCDBF" w14:textId="77777777" w:rsidR="007705DE" w:rsidRPr="007705DE" w:rsidRDefault="007705DE" w:rsidP="007705DE">
            <w:pPr>
              <w:numPr>
                <w:ilvl w:val="0"/>
                <w:numId w:val="6"/>
              </w:numPr>
            </w:pPr>
            <w:r w:rsidRPr="007705DE">
              <w:t>tailored to both back-office enabling staff and frontline social workers. (Action 2)</w:t>
            </w:r>
          </w:p>
          <w:p w14:paraId="6E44D227" w14:textId="77777777" w:rsidR="007705DE" w:rsidRPr="007705DE" w:rsidRDefault="007705DE" w:rsidP="007705DE">
            <w:pPr>
              <w:numPr>
                <w:ilvl w:val="0"/>
                <w:numId w:val="6"/>
              </w:numPr>
            </w:pPr>
            <w:r w:rsidRPr="007705DE">
              <w:t>provided to new staff as part of induction and prior to gaining system access to personal information. (Action 3) </w:t>
            </w:r>
          </w:p>
          <w:p w14:paraId="613F2418" w14:textId="77777777" w:rsidR="007705DE" w:rsidRPr="007705DE" w:rsidRDefault="007705DE" w:rsidP="007705DE">
            <w:pPr>
              <w:numPr>
                <w:ilvl w:val="0"/>
                <w:numId w:val="6"/>
              </w:numPr>
            </w:pPr>
            <w:r w:rsidRPr="007705DE">
              <w:t>repeated for all staff at appropriate intervals (e.g. annually), with additional refresher training required for specific groups and/or when privacy incidents occur. (Action 4) </w:t>
            </w:r>
          </w:p>
        </w:tc>
        <w:tc>
          <w:tcPr>
            <w:tcW w:w="5466" w:type="dxa"/>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4E58855C" w14:textId="77777777" w:rsidR="007705DE" w:rsidRPr="007705DE" w:rsidRDefault="007705DE" w:rsidP="007705DE">
            <w:r w:rsidRPr="007705DE">
              <w:t xml:space="preserve">Frontline training has been developed, and delivery is progressing well. Out of all 58 sites scheduled, 57 training sessions have been delivered, plus an additional five national office teams. </w:t>
            </w:r>
          </w:p>
          <w:p w14:paraId="3500EFB1" w14:textId="77777777" w:rsidR="007705DE" w:rsidRPr="007705DE" w:rsidRDefault="007705DE" w:rsidP="007705DE">
            <w:r w:rsidRPr="007705DE">
              <w:t xml:space="preserve">Nine youth justice residences are yet to </w:t>
            </w:r>
            <w:proofErr w:type="gramStart"/>
            <w:r w:rsidRPr="007705DE">
              <w:t>be have</w:t>
            </w:r>
            <w:proofErr w:type="gramEnd"/>
            <w:r w:rsidRPr="007705DE">
              <w:t xml:space="preserve"> training scheduled - this will happen in early 2026. </w:t>
            </w:r>
          </w:p>
          <w:p w14:paraId="7FF827E6" w14:textId="77777777" w:rsidR="007705DE" w:rsidRPr="007705DE" w:rsidRDefault="007705DE" w:rsidP="007705DE">
            <w:r w:rsidRPr="007705DE">
              <w:t xml:space="preserve">The first three trainings have been completed for Puāwai (induction) and will continue every 10 weeks within each new session. </w:t>
            </w:r>
          </w:p>
          <w:p w14:paraId="6E1F9125" w14:textId="77777777" w:rsidR="007705DE" w:rsidRPr="007705DE" w:rsidRDefault="007705DE" w:rsidP="007705DE">
            <w:r w:rsidRPr="007705DE">
              <w:t>A memo has been provided to OPC with evidence for the closure of Actions 2, 3 and 4 of this section, along with training slides, and privacy certification and annual recertification information.</w:t>
            </w:r>
          </w:p>
        </w:tc>
        <w:tc>
          <w:tcPr>
            <w:tcW w:w="1428" w:type="dxa"/>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4C103C8A" w14:textId="77777777" w:rsidR="007705DE" w:rsidRPr="007705DE" w:rsidRDefault="007705DE" w:rsidP="007705DE">
            <w:r w:rsidRPr="007705DE">
              <w:t>Action 1 due 30 March 2026</w:t>
            </w:r>
          </w:p>
          <w:p w14:paraId="25EF5CF7" w14:textId="77777777" w:rsidR="007705DE" w:rsidRPr="007705DE" w:rsidRDefault="007705DE" w:rsidP="007705DE">
            <w:r w:rsidRPr="007705DE">
              <w:t>Actions 2,3,4 closed</w:t>
            </w:r>
          </w:p>
        </w:tc>
      </w:tr>
    </w:tbl>
    <w:p w14:paraId="00FAAB6E" w14:textId="77777777" w:rsidR="0049729E" w:rsidRDefault="0049729E">
      <w:r>
        <w:br w:type="page"/>
      </w:r>
    </w:p>
    <w:tbl>
      <w:tblPr>
        <w:tblW w:w="10207" w:type="dxa"/>
        <w:tblInd w:w="-436" w:type="dxa"/>
        <w:tblLayout w:type="fixed"/>
        <w:tblCellMar>
          <w:left w:w="0" w:type="dxa"/>
          <w:right w:w="0" w:type="dxa"/>
        </w:tblCellMar>
        <w:tblLook w:val="0400" w:firstRow="0" w:lastRow="0" w:firstColumn="0" w:lastColumn="0" w:noHBand="0" w:noVBand="1"/>
      </w:tblPr>
      <w:tblGrid>
        <w:gridCol w:w="3749"/>
        <w:gridCol w:w="5041"/>
        <w:gridCol w:w="1417"/>
      </w:tblGrid>
      <w:tr w:rsidR="006C333B" w:rsidRPr="007705DE" w14:paraId="545C0247" w14:textId="77777777" w:rsidTr="0049729E">
        <w:trPr>
          <w:trHeight w:val="436"/>
        </w:trPr>
        <w:tc>
          <w:tcPr>
            <w:tcW w:w="374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tcPr>
          <w:p w14:paraId="431F794B" w14:textId="16B38B7B" w:rsidR="006C333B" w:rsidRPr="00070136" w:rsidRDefault="006C333B" w:rsidP="007705DE">
            <w:pPr>
              <w:rPr>
                <w:b/>
                <w:bCs/>
              </w:rPr>
            </w:pPr>
            <w:r w:rsidRPr="007705DE">
              <w:rPr>
                <w:b/>
                <w:bCs/>
              </w:rPr>
              <w:lastRenderedPageBreak/>
              <w:t>Strengthen information access settings</w:t>
            </w:r>
          </w:p>
        </w:tc>
        <w:tc>
          <w:tcPr>
            <w:tcW w:w="504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tcPr>
          <w:p w14:paraId="297D1B13" w14:textId="388C4AE6" w:rsidR="006C333B" w:rsidRPr="00070136" w:rsidRDefault="006C333B" w:rsidP="007705DE">
            <w:pPr>
              <w:rPr>
                <w:b/>
                <w:bCs/>
              </w:rPr>
            </w:pPr>
            <w:r w:rsidRPr="007705DE">
              <w:rPr>
                <w:b/>
                <w:bCs/>
              </w:rPr>
              <w:t>Update against actions</w:t>
            </w:r>
          </w:p>
        </w:tc>
        <w:tc>
          <w:tcPr>
            <w:tcW w:w="1417"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tcPr>
          <w:p w14:paraId="3F845FCD" w14:textId="1DDFFB5E" w:rsidR="006C333B" w:rsidRPr="00070136" w:rsidRDefault="006C333B" w:rsidP="007705DE">
            <w:pPr>
              <w:rPr>
                <w:b/>
                <w:bCs/>
              </w:rPr>
            </w:pPr>
            <w:r w:rsidRPr="00070136">
              <w:rPr>
                <w:b/>
                <w:bCs/>
              </w:rPr>
              <w:t>Due date</w:t>
            </w:r>
          </w:p>
        </w:tc>
      </w:tr>
      <w:tr w:rsidR="007705DE" w:rsidRPr="007705DE" w14:paraId="44EBA6AB" w14:textId="77777777" w:rsidTr="0049729E">
        <w:trPr>
          <w:trHeight w:val="351"/>
        </w:trPr>
        <w:tc>
          <w:tcPr>
            <w:tcW w:w="3749" w:type="dxa"/>
            <w:tcBorders>
              <w:top w:val="single" w:sz="8" w:space="0" w:color="FFFFFF"/>
              <w:left w:val="single" w:sz="8" w:space="0" w:color="FFFFFF"/>
              <w:bottom w:val="single" w:sz="8" w:space="0" w:color="FFFFFF"/>
              <w:right w:val="single" w:sz="8" w:space="0" w:color="FFFFFF"/>
            </w:tcBorders>
            <w:shd w:val="clear" w:color="auto" w:fill="CCDAEC"/>
            <w:tcMar>
              <w:top w:w="72" w:type="dxa"/>
              <w:left w:w="144" w:type="dxa"/>
              <w:bottom w:w="72" w:type="dxa"/>
              <w:right w:w="144" w:type="dxa"/>
            </w:tcMar>
            <w:hideMark/>
          </w:tcPr>
          <w:p w14:paraId="680B5530" w14:textId="77777777" w:rsidR="007705DE" w:rsidRPr="007705DE" w:rsidRDefault="007705DE" w:rsidP="007705DE">
            <w:r w:rsidRPr="007705DE">
              <w:t>Item ii(a)(1): Complete an assessment of the levels of sensitivity of all types of personal information held (‘Privacy Classification System’) which includes a record of the location or system where it is stored.  (Action 5)</w:t>
            </w:r>
          </w:p>
        </w:tc>
        <w:tc>
          <w:tcPr>
            <w:tcW w:w="5041" w:type="dxa"/>
            <w:tcBorders>
              <w:top w:val="single" w:sz="8" w:space="0" w:color="FFFFFF"/>
              <w:left w:val="single" w:sz="8" w:space="0" w:color="FFFFFF"/>
              <w:bottom w:val="single" w:sz="8" w:space="0" w:color="FFFFFF"/>
              <w:right w:val="single" w:sz="8" w:space="0" w:color="FFFFFF"/>
            </w:tcBorders>
            <w:shd w:val="clear" w:color="auto" w:fill="CCDAEC"/>
            <w:tcMar>
              <w:top w:w="72" w:type="dxa"/>
              <w:left w:w="144" w:type="dxa"/>
              <w:bottom w:w="72" w:type="dxa"/>
              <w:right w:w="144" w:type="dxa"/>
            </w:tcMar>
            <w:hideMark/>
          </w:tcPr>
          <w:p w14:paraId="15CFEE4D" w14:textId="77777777" w:rsidR="007705DE" w:rsidRPr="007705DE" w:rsidRDefault="007705DE" w:rsidP="007705DE">
            <w:r w:rsidRPr="007705DE">
              <w:t>Memo provided to OPC on 19 Nov with evidence for closure, referencing the assessment done to develop a Privacy Classification System.</w:t>
            </w:r>
          </w:p>
        </w:tc>
        <w:tc>
          <w:tcPr>
            <w:tcW w:w="1417" w:type="dxa"/>
            <w:tcBorders>
              <w:top w:val="single" w:sz="8" w:space="0" w:color="FFFFFF"/>
              <w:left w:val="single" w:sz="8" w:space="0" w:color="FFFFFF"/>
              <w:bottom w:val="single" w:sz="8" w:space="0" w:color="FFFFFF"/>
              <w:right w:val="single" w:sz="8" w:space="0" w:color="FFFFFF"/>
            </w:tcBorders>
            <w:shd w:val="clear" w:color="auto" w:fill="CCDAEC"/>
            <w:tcMar>
              <w:top w:w="72" w:type="dxa"/>
              <w:left w:w="144" w:type="dxa"/>
              <w:bottom w:w="72" w:type="dxa"/>
              <w:right w:w="144" w:type="dxa"/>
            </w:tcMar>
            <w:hideMark/>
          </w:tcPr>
          <w:p w14:paraId="64F5CDF9" w14:textId="77777777" w:rsidR="007705DE" w:rsidRPr="007705DE" w:rsidRDefault="007705DE" w:rsidP="007705DE">
            <w:r w:rsidRPr="007705DE">
              <w:t>Action 5 closed</w:t>
            </w:r>
          </w:p>
        </w:tc>
      </w:tr>
      <w:tr w:rsidR="007705DE" w:rsidRPr="007705DE" w14:paraId="3B0FB528" w14:textId="77777777" w:rsidTr="0049729E">
        <w:trPr>
          <w:trHeight w:val="1134"/>
        </w:trPr>
        <w:tc>
          <w:tcPr>
            <w:tcW w:w="3749" w:type="dxa"/>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1F65C677" w14:textId="77777777" w:rsidR="007705DE" w:rsidRPr="007705DE" w:rsidRDefault="007705DE" w:rsidP="007705DE">
            <w:r w:rsidRPr="007705DE">
              <w:t>Items ii(a)(2) and ii(b)(1): Develop and deliver business rules/technical settings for role-based access (Annual privacy declaration; Automated removal of access; Business rules/resolution of existing inappropriate access to information). (Action 6/8)</w:t>
            </w:r>
          </w:p>
        </w:tc>
        <w:tc>
          <w:tcPr>
            <w:tcW w:w="5041" w:type="dxa"/>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1E7B7CA1" w14:textId="77777777" w:rsidR="007705DE" w:rsidRPr="007705DE" w:rsidRDefault="007705DE" w:rsidP="007705DE">
            <w:r w:rsidRPr="007705DE">
              <w:rPr>
                <w:lang w:val="en-US"/>
              </w:rPr>
              <w:t>The CYRAS declaration process has been developed and is being embedded into business practices. The memo closing Action 6 and providing an update on Action 8 has been provided as evidence to OPC. </w:t>
            </w:r>
          </w:p>
        </w:tc>
        <w:tc>
          <w:tcPr>
            <w:tcW w:w="1417" w:type="dxa"/>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0268E537" w14:textId="77777777" w:rsidR="007705DE" w:rsidRPr="007705DE" w:rsidRDefault="007705DE" w:rsidP="007705DE">
            <w:r w:rsidRPr="007705DE">
              <w:t>Action 6 closed</w:t>
            </w:r>
          </w:p>
          <w:p w14:paraId="0D2E0F5A" w14:textId="77777777" w:rsidR="007705DE" w:rsidRPr="007705DE" w:rsidRDefault="007705DE" w:rsidP="007705DE">
            <w:r w:rsidRPr="007705DE">
              <w:br/>
              <w:t>Action 8 due 30 March 2026</w:t>
            </w:r>
          </w:p>
        </w:tc>
      </w:tr>
      <w:tr w:rsidR="007705DE" w:rsidRPr="007705DE" w14:paraId="6FC95EB1" w14:textId="77777777" w:rsidTr="0049729E">
        <w:trPr>
          <w:trHeight w:val="1446"/>
        </w:trPr>
        <w:tc>
          <w:tcPr>
            <w:tcW w:w="3749" w:type="dxa"/>
            <w:tcBorders>
              <w:top w:val="single" w:sz="8" w:space="0" w:color="FFFFFF"/>
              <w:left w:val="single" w:sz="8" w:space="0" w:color="FFFFFF"/>
              <w:bottom w:val="single" w:sz="8" w:space="0" w:color="FFFFFF"/>
              <w:right w:val="single" w:sz="8" w:space="0" w:color="FFFFFF"/>
            </w:tcBorders>
            <w:shd w:val="clear" w:color="auto" w:fill="CCDAEC"/>
            <w:tcMar>
              <w:top w:w="72" w:type="dxa"/>
              <w:left w:w="144" w:type="dxa"/>
              <w:bottom w:w="72" w:type="dxa"/>
              <w:right w:w="144" w:type="dxa"/>
            </w:tcMar>
            <w:hideMark/>
          </w:tcPr>
          <w:p w14:paraId="64A5989C" w14:textId="77777777" w:rsidR="007705DE" w:rsidRPr="007705DE" w:rsidRDefault="007705DE" w:rsidP="007705DE">
            <w:r w:rsidRPr="007705DE">
              <w:t>Item ii(a)(3): Responding to information disclosure requests – to be handled appropriately and within the required timeframes (potential efficiencies assessed, business case/memo for FTE increase required</w:t>
            </w:r>
            <w:proofErr w:type="gramStart"/>
            <w:r w:rsidRPr="007705DE">
              <w:t>).(</w:t>
            </w:r>
            <w:proofErr w:type="gramEnd"/>
            <w:r w:rsidRPr="007705DE">
              <w:t>Action 7)</w:t>
            </w:r>
          </w:p>
        </w:tc>
        <w:tc>
          <w:tcPr>
            <w:tcW w:w="5041" w:type="dxa"/>
            <w:tcBorders>
              <w:top w:val="single" w:sz="8" w:space="0" w:color="FFFFFF"/>
              <w:left w:val="single" w:sz="8" w:space="0" w:color="FFFFFF"/>
              <w:bottom w:val="single" w:sz="8" w:space="0" w:color="FFFFFF"/>
              <w:right w:val="single" w:sz="8" w:space="0" w:color="FFFFFF"/>
            </w:tcBorders>
            <w:shd w:val="clear" w:color="auto" w:fill="CCDAEC"/>
            <w:tcMar>
              <w:top w:w="72" w:type="dxa"/>
              <w:left w:w="144" w:type="dxa"/>
              <w:bottom w:w="72" w:type="dxa"/>
              <w:right w:w="144" w:type="dxa"/>
            </w:tcMar>
            <w:hideMark/>
          </w:tcPr>
          <w:p w14:paraId="3FDC8877" w14:textId="77777777" w:rsidR="007705DE" w:rsidRPr="007705DE" w:rsidRDefault="007705DE" w:rsidP="007705DE">
            <w:r w:rsidRPr="007705DE">
              <w:t xml:space="preserve">Six Sigma review of Customer Information Request (CIR) process completed but did not identify major efficiencies. Investigation underway to see if new technologies / AI could help to streamline the CIR processes. Scanners due Feb/Mar should address a bottleneck. The taskforce to clear the privacy request backlog has been approved by Te Riu and the CE. New staff will on board in tranches in January. Approval to increase permanent headcount of CIR team has not been agreed at this time, with further investigation required. </w:t>
            </w:r>
            <w:r w:rsidRPr="007705DE">
              <w:rPr>
                <w:lang w:val="en-US"/>
              </w:rPr>
              <w:t>Update provided to OPC on 19 November.</w:t>
            </w:r>
          </w:p>
        </w:tc>
        <w:tc>
          <w:tcPr>
            <w:tcW w:w="1417" w:type="dxa"/>
            <w:tcBorders>
              <w:top w:val="single" w:sz="8" w:space="0" w:color="FFFFFF"/>
              <w:left w:val="single" w:sz="8" w:space="0" w:color="FFFFFF"/>
              <w:bottom w:val="single" w:sz="8" w:space="0" w:color="FFFFFF"/>
              <w:right w:val="single" w:sz="8" w:space="0" w:color="FFFFFF"/>
            </w:tcBorders>
            <w:shd w:val="clear" w:color="auto" w:fill="CCDAEC"/>
            <w:tcMar>
              <w:top w:w="72" w:type="dxa"/>
              <w:left w:w="144" w:type="dxa"/>
              <w:bottom w:w="72" w:type="dxa"/>
              <w:right w:w="144" w:type="dxa"/>
            </w:tcMar>
            <w:hideMark/>
          </w:tcPr>
          <w:p w14:paraId="0A6C175F" w14:textId="77777777" w:rsidR="007705DE" w:rsidRPr="007705DE" w:rsidRDefault="007705DE" w:rsidP="007705DE">
            <w:r w:rsidRPr="007705DE">
              <w:t xml:space="preserve">Action 7 - extension requested </w:t>
            </w:r>
          </w:p>
        </w:tc>
      </w:tr>
      <w:tr w:rsidR="007705DE" w:rsidRPr="007705DE" w14:paraId="2DCC2AF2" w14:textId="77777777" w:rsidTr="0049729E">
        <w:trPr>
          <w:trHeight w:val="357"/>
        </w:trPr>
        <w:tc>
          <w:tcPr>
            <w:tcW w:w="3749" w:type="dxa"/>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1B429B92" w14:textId="77777777" w:rsidR="007705DE" w:rsidRPr="007705DE" w:rsidRDefault="007705DE" w:rsidP="007705DE">
            <w:r w:rsidRPr="007705DE">
              <w:t xml:space="preserve">Items ii(b)(2) Implement an audit log and process for the proactive monitoring of IT security access controls (Action 9) </w:t>
            </w:r>
          </w:p>
          <w:p w14:paraId="6556FFD6" w14:textId="77777777" w:rsidR="007705DE" w:rsidRPr="007705DE" w:rsidRDefault="007705DE" w:rsidP="007705DE">
            <w:r w:rsidRPr="007705DE">
              <w:t>and ii(b)(3) Develop and deliver a proactive monitoring schedule and reporting framework that includes adjusting and removing access as appropriate. (Action 10)</w:t>
            </w:r>
          </w:p>
        </w:tc>
        <w:tc>
          <w:tcPr>
            <w:tcW w:w="5041" w:type="dxa"/>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55A19FBD" w14:textId="77777777" w:rsidR="007705DE" w:rsidRPr="007705DE" w:rsidRDefault="007705DE" w:rsidP="007705DE">
            <w:r w:rsidRPr="007705DE">
              <w:t xml:space="preserve">Memo provided to OPC on 19 Nov with evidence for closure. Automatic removal of access to CYRAS after three months of inactivity has been implemented, also a View History tab on CYRAS records, and removal of access as appropriate from HR report showing changing roles and </w:t>
            </w:r>
            <w:proofErr w:type="spellStart"/>
            <w:r w:rsidRPr="007705DE">
              <w:t>kaimahi</w:t>
            </w:r>
            <w:proofErr w:type="spellEnd"/>
            <w:r w:rsidRPr="007705DE">
              <w:t xml:space="preserve"> leaving the organisation. </w:t>
            </w:r>
          </w:p>
          <w:p w14:paraId="3479FE30" w14:textId="77777777" w:rsidR="007705DE" w:rsidRPr="007705DE" w:rsidRDefault="007705DE" w:rsidP="007705DE">
            <w:r w:rsidRPr="007705DE">
              <w:t>Work to embed new reports in business processes is underway.</w:t>
            </w:r>
          </w:p>
        </w:tc>
        <w:tc>
          <w:tcPr>
            <w:tcW w:w="1417" w:type="dxa"/>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471939D3" w14:textId="77777777" w:rsidR="007705DE" w:rsidRPr="007705DE" w:rsidRDefault="007705DE" w:rsidP="007705DE">
            <w:r w:rsidRPr="007705DE">
              <w:t>Actions 9 and 10 closed</w:t>
            </w:r>
          </w:p>
        </w:tc>
      </w:tr>
      <w:tr w:rsidR="0049729E" w:rsidRPr="005A32AB" w14:paraId="0AF008FD" w14:textId="77777777" w:rsidTr="0049729E">
        <w:trPr>
          <w:trHeight w:val="357"/>
        </w:trPr>
        <w:tc>
          <w:tcPr>
            <w:tcW w:w="374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40F754B5" w14:textId="77777777" w:rsidR="005A32AB" w:rsidRPr="005A32AB" w:rsidRDefault="005A32AB" w:rsidP="005A32AB">
            <w:pPr>
              <w:rPr>
                <w:b/>
                <w:bCs/>
              </w:rPr>
            </w:pPr>
            <w:r w:rsidRPr="005A32AB">
              <w:rPr>
                <w:b/>
                <w:bCs/>
              </w:rPr>
              <w:lastRenderedPageBreak/>
              <w:t>Strengthen oversight of service providers</w:t>
            </w:r>
          </w:p>
        </w:tc>
        <w:tc>
          <w:tcPr>
            <w:tcW w:w="504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6B796D68" w14:textId="77777777" w:rsidR="005A32AB" w:rsidRPr="005A32AB" w:rsidRDefault="005A32AB" w:rsidP="005A32AB">
            <w:pPr>
              <w:rPr>
                <w:b/>
                <w:bCs/>
              </w:rPr>
            </w:pPr>
            <w:r w:rsidRPr="005A32AB">
              <w:rPr>
                <w:b/>
                <w:bCs/>
              </w:rPr>
              <w:t>Update against actions</w:t>
            </w:r>
          </w:p>
        </w:tc>
        <w:tc>
          <w:tcPr>
            <w:tcW w:w="1417"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2C671DD4" w14:textId="77777777" w:rsidR="005A32AB" w:rsidRPr="005A32AB" w:rsidRDefault="005A32AB" w:rsidP="005A32AB">
            <w:pPr>
              <w:rPr>
                <w:b/>
                <w:bCs/>
              </w:rPr>
            </w:pPr>
            <w:r w:rsidRPr="005A32AB">
              <w:rPr>
                <w:b/>
                <w:bCs/>
              </w:rPr>
              <w:t>Due date</w:t>
            </w:r>
          </w:p>
        </w:tc>
      </w:tr>
      <w:tr w:rsidR="0049729E" w:rsidRPr="005A32AB" w14:paraId="74735976" w14:textId="77777777" w:rsidTr="0049729E">
        <w:trPr>
          <w:trHeight w:val="357"/>
        </w:trPr>
        <w:tc>
          <w:tcPr>
            <w:tcW w:w="3749" w:type="dxa"/>
            <w:tcBorders>
              <w:top w:val="single" w:sz="8" w:space="0" w:color="FFFFFF"/>
              <w:left w:val="single" w:sz="8" w:space="0" w:color="FFFFFF"/>
              <w:bottom w:val="single" w:sz="8" w:space="0" w:color="FFFFFF"/>
              <w:right w:val="single" w:sz="8" w:space="0" w:color="FFFFFF"/>
            </w:tcBorders>
            <w:shd w:val="clear" w:color="auto" w:fill="CCDAEC"/>
            <w:tcMar>
              <w:top w:w="72" w:type="dxa"/>
              <w:left w:w="144" w:type="dxa"/>
              <w:bottom w:w="72" w:type="dxa"/>
              <w:right w:w="144" w:type="dxa"/>
            </w:tcMar>
            <w:hideMark/>
          </w:tcPr>
          <w:p w14:paraId="35958383" w14:textId="77777777" w:rsidR="005A32AB" w:rsidRPr="005A32AB" w:rsidRDefault="005A32AB" w:rsidP="005A32AB">
            <w:r w:rsidRPr="005A32AB">
              <w:t>Item iii(a)(1): Developing and maintaining an inventory of the allocation and use of devices to non-</w:t>
            </w:r>
            <w:proofErr w:type="spellStart"/>
            <w:r w:rsidRPr="005A32AB">
              <w:t>Oranga</w:t>
            </w:r>
            <w:proofErr w:type="spellEnd"/>
            <w:r w:rsidRPr="005A32AB">
              <w:t xml:space="preserve"> Tamariki personnel which also records the information access settings for each person.  (Action 11)</w:t>
            </w:r>
          </w:p>
        </w:tc>
        <w:tc>
          <w:tcPr>
            <w:tcW w:w="5041" w:type="dxa"/>
            <w:tcBorders>
              <w:top w:val="single" w:sz="8" w:space="0" w:color="FFFFFF"/>
              <w:left w:val="single" w:sz="8" w:space="0" w:color="FFFFFF"/>
              <w:bottom w:val="single" w:sz="8" w:space="0" w:color="FFFFFF"/>
              <w:right w:val="single" w:sz="8" w:space="0" w:color="FFFFFF"/>
            </w:tcBorders>
            <w:shd w:val="clear" w:color="auto" w:fill="CCDAEC"/>
            <w:tcMar>
              <w:top w:w="72" w:type="dxa"/>
              <w:left w:w="144" w:type="dxa"/>
              <w:bottom w:w="72" w:type="dxa"/>
              <w:right w:w="144" w:type="dxa"/>
            </w:tcMar>
            <w:hideMark/>
          </w:tcPr>
          <w:p w14:paraId="43E31BDF" w14:textId="77777777" w:rsidR="005A32AB" w:rsidRPr="005A32AB" w:rsidRDefault="005A32AB" w:rsidP="005A32AB">
            <w:r w:rsidRPr="005A32AB">
              <w:t>Memo provided to OPC on 19 Nov with evidence for closure, including summary of information available in the inventory. Further work is planned to provide assurance over the end-to-end process for third-party access to sensitive information.</w:t>
            </w:r>
          </w:p>
        </w:tc>
        <w:tc>
          <w:tcPr>
            <w:tcW w:w="1417" w:type="dxa"/>
            <w:tcBorders>
              <w:top w:val="single" w:sz="8" w:space="0" w:color="FFFFFF"/>
              <w:left w:val="single" w:sz="8" w:space="0" w:color="FFFFFF"/>
              <w:bottom w:val="single" w:sz="8" w:space="0" w:color="FFFFFF"/>
              <w:right w:val="single" w:sz="8" w:space="0" w:color="FFFFFF"/>
            </w:tcBorders>
            <w:shd w:val="clear" w:color="auto" w:fill="CCDAEC"/>
            <w:tcMar>
              <w:top w:w="72" w:type="dxa"/>
              <w:left w:w="144" w:type="dxa"/>
              <w:bottom w:w="72" w:type="dxa"/>
              <w:right w:w="144" w:type="dxa"/>
            </w:tcMar>
            <w:hideMark/>
          </w:tcPr>
          <w:p w14:paraId="7AB10756" w14:textId="77777777" w:rsidR="005A32AB" w:rsidRPr="005A32AB" w:rsidRDefault="005A32AB" w:rsidP="005A32AB">
            <w:r w:rsidRPr="005A32AB">
              <w:t>Action 11 closed</w:t>
            </w:r>
          </w:p>
        </w:tc>
      </w:tr>
      <w:tr w:rsidR="0049729E" w:rsidRPr="005A32AB" w14:paraId="0CE8828C" w14:textId="77777777" w:rsidTr="0049729E">
        <w:trPr>
          <w:trHeight w:val="357"/>
        </w:trPr>
        <w:tc>
          <w:tcPr>
            <w:tcW w:w="3749" w:type="dxa"/>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083C0160" w14:textId="77777777" w:rsidR="005A32AB" w:rsidRPr="005A32AB" w:rsidRDefault="005A32AB" w:rsidP="005A32AB">
            <w:r w:rsidRPr="005A32AB">
              <w:t>Item iii(a)(2): review and strengthen contractual requirements for non-</w:t>
            </w:r>
            <w:proofErr w:type="spellStart"/>
            <w:r w:rsidRPr="005A32AB">
              <w:t>Oranga</w:t>
            </w:r>
            <w:proofErr w:type="spellEnd"/>
            <w:r w:rsidRPr="005A32AB">
              <w:t xml:space="preserve"> Tamariki staff, including secure information management and disposal practices and prompt privacy breach reporting requirements.   (Action 12)</w:t>
            </w:r>
          </w:p>
        </w:tc>
        <w:tc>
          <w:tcPr>
            <w:tcW w:w="5041" w:type="dxa"/>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010D7CF2" w14:textId="77777777" w:rsidR="005A32AB" w:rsidRPr="005A32AB" w:rsidRDefault="005A32AB" w:rsidP="005A32AB">
            <w:r w:rsidRPr="005A32AB">
              <w:t xml:space="preserve">Memo provided to OPC on 19 Nov with evidence for closure and discussing extension, including updated pro forma contract with strengthened privacy clauses, and schedule for contract updates. First 189 </w:t>
            </w:r>
            <w:proofErr w:type="gramStart"/>
            <w:r w:rsidRPr="005A32AB">
              <w:t>contract</w:t>
            </w:r>
            <w:proofErr w:type="gramEnd"/>
            <w:r w:rsidRPr="005A32AB">
              <w:t xml:space="preserve"> renewed with strengthened privacy clauses.</w:t>
            </w:r>
          </w:p>
        </w:tc>
        <w:tc>
          <w:tcPr>
            <w:tcW w:w="1417" w:type="dxa"/>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7D7F04CF" w14:textId="77777777" w:rsidR="005A32AB" w:rsidRPr="005A32AB" w:rsidRDefault="005A32AB" w:rsidP="005A32AB">
            <w:r w:rsidRPr="005A32AB">
              <w:t>Action 12 closed</w:t>
            </w:r>
          </w:p>
        </w:tc>
      </w:tr>
      <w:tr w:rsidR="0049729E" w:rsidRPr="005A32AB" w14:paraId="63330F3B" w14:textId="77777777" w:rsidTr="0049729E">
        <w:trPr>
          <w:trHeight w:val="357"/>
        </w:trPr>
        <w:tc>
          <w:tcPr>
            <w:tcW w:w="3749" w:type="dxa"/>
            <w:tcBorders>
              <w:top w:val="single" w:sz="8" w:space="0" w:color="FFFFFF"/>
              <w:left w:val="single" w:sz="8" w:space="0" w:color="FFFFFF"/>
              <w:bottom w:val="single" w:sz="8" w:space="0" w:color="FFFFFF"/>
              <w:right w:val="single" w:sz="8" w:space="0" w:color="FFFFFF"/>
            </w:tcBorders>
            <w:shd w:val="clear" w:color="auto" w:fill="CCDAEC"/>
            <w:tcMar>
              <w:top w:w="72" w:type="dxa"/>
              <w:left w:w="144" w:type="dxa"/>
              <w:bottom w:w="72" w:type="dxa"/>
              <w:right w:w="144" w:type="dxa"/>
            </w:tcMar>
            <w:hideMark/>
          </w:tcPr>
          <w:p w14:paraId="4EE4F1ED" w14:textId="77777777" w:rsidR="005A32AB" w:rsidRPr="005A32AB" w:rsidRDefault="005A32AB" w:rsidP="005A32AB">
            <w:r w:rsidRPr="005A32AB">
              <w:t>Item iii (b) 1): Developing a schedule of regular audits of the privacy policies and practices of those providers to ensure the required privacy standards are maintained.     (Action 13)</w:t>
            </w:r>
          </w:p>
        </w:tc>
        <w:tc>
          <w:tcPr>
            <w:tcW w:w="5041" w:type="dxa"/>
            <w:tcBorders>
              <w:top w:val="single" w:sz="8" w:space="0" w:color="FFFFFF"/>
              <w:left w:val="single" w:sz="8" w:space="0" w:color="FFFFFF"/>
              <w:bottom w:val="single" w:sz="8" w:space="0" w:color="FFFFFF"/>
              <w:right w:val="single" w:sz="8" w:space="0" w:color="FFFFFF"/>
            </w:tcBorders>
            <w:shd w:val="clear" w:color="auto" w:fill="CCDAEC"/>
            <w:tcMar>
              <w:top w:w="72" w:type="dxa"/>
              <w:left w:w="144" w:type="dxa"/>
              <w:bottom w:w="72" w:type="dxa"/>
              <w:right w:w="144" w:type="dxa"/>
            </w:tcMar>
            <w:hideMark/>
          </w:tcPr>
          <w:p w14:paraId="4021EC5C" w14:textId="77777777" w:rsidR="005A32AB" w:rsidRPr="005A32AB" w:rsidRDefault="005A32AB" w:rsidP="005A32AB">
            <w:r w:rsidRPr="005A32AB">
              <w:t>Memo provided to OPC on 19 Nov with evidence for closure, including details of the privacy requirements providers need to meet to get accreditation, and the process for following up Te </w:t>
            </w:r>
            <w:proofErr w:type="spellStart"/>
            <w:r w:rsidRPr="005A32AB">
              <w:t>Kāhui</w:t>
            </w:r>
            <w:proofErr w:type="spellEnd"/>
            <w:r w:rsidRPr="005A32AB">
              <w:t> </w:t>
            </w:r>
            <w:proofErr w:type="spellStart"/>
            <w:r w:rsidRPr="005A32AB">
              <w:t>Kāhu</w:t>
            </w:r>
            <w:proofErr w:type="spellEnd"/>
            <w:r w:rsidRPr="005A32AB">
              <w:t> audits where issues are identified. The audit process was further discussed during the December conversation with the OPC.</w:t>
            </w:r>
          </w:p>
        </w:tc>
        <w:tc>
          <w:tcPr>
            <w:tcW w:w="1417" w:type="dxa"/>
            <w:tcBorders>
              <w:top w:val="single" w:sz="8" w:space="0" w:color="FFFFFF"/>
              <w:left w:val="single" w:sz="8" w:space="0" w:color="FFFFFF"/>
              <w:bottom w:val="single" w:sz="8" w:space="0" w:color="FFFFFF"/>
              <w:right w:val="single" w:sz="8" w:space="0" w:color="FFFFFF"/>
            </w:tcBorders>
            <w:shd w:val="clear" w:color="auto" w:fill="CCDAEC"/>
            <w:tcMar>
              <w:top w:w="72" w:type="dxa"/>
              <w:left w:w="144" w:type="dxa"/>
              <w:bottom w:w="72" w:type="dxa"/>
              <w:right w:w="144" w:type="dxa"/>
            </w:tcMar>
            <w:hideMark/>
          </w:tcPr>
          <w:p w14:paraId="70756866" w14:textId="77777777" w:rsidR="005A32AB" w:rsidRPr="005A32AB" w:rsidRDefault="005A32AB" w:rsidP="005A32AB">
            <w:r w:rsidRPr="005A32AB">
              <w:t>Action 13 closed</w:t>
            </w:r>
          </w:p>
        </w:tc>
      </w:tr>
      <w:tr w:rsidR="0049729E" w:rsidRPr="005A32AB" w14:paraId="6F403CB1" w14:textId="77777777" w:rsidTr="0049729E">
        <w:trPr>
          <w:trHeight w:val="357"/>
        </w:trPr>
        <w:tc>
          <w:tcPr>
            <w:tcW w:w="374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38DC4624" w14:textId="77777777" w:rsidR="005A32AB" w:rsidRPr="005A32AB" w:rsidRDefault="005A32AB" w:rsidP="005A32AB">
            <w:pPr>
              <w:rPr>
                <w:b/>
                <w:bCs/>
              </w:rPr>
            </w:pPr>
            <w:r w:rsidRPr="005A32AB">
              <w:rPr>
                <w:b/>
                <w:bCs/>
              </w:rPr>
              <w:t>Strengthen accountability and reporting of privacy incidents</w:t>
            </w:r>
          </w:p>
        </w:tc>
        <w:tc>
          <w:tcPr>
            <w:tcW w:w="504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757BA8A5" w14:textId="77777777" w:rsidR="005A32AB" w:rsidRPr="005A32AB" w:rsidRDefault="005A32AB" w:rsidP="005A32AB">
            <w:pPr>
              <w:rPr>
                <w:b/>
                <w:bCs/>
              </w:rPr>
            </w:pPr>
            <w:r w:rsidRPr="005A32AB">
              <w:rPr>
                <w:b/>
                <w:bCs/>
              </w:rPr>
              <w:t>Update against actions</w:t>
            </w:r>
          </w:p>
        </w:tc>
        <w:tc>
          <w:tcPr>
            <w:tcW w:w="1417"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2401AC6B" w14:textId="2BB685DD" w:rsidR="005A32AB" w:rsidRPr="005A32AB" w:rsidRDefault="004C7D74" w:rsidP="005A32AB">
            <w:pPr>
              <w:rPr>
                <w:b/>
                <w:bCs/>
              </w:rPr>
            </w:pPr>
            <w:r w:rsidRPr="00070136">
              <w:rPr>
                <w:b/>
                <w:bCs/>
              </w:rPr>
              <w:t>Due date</w:t>
            </w:r>
          </w:p>
        </w:tc>
      </w:tr>
      <w:tr w:rsidR="0049729E" w:rsidRPr="005A32AB" w14:paraId="5A7EE9C2" w14:textId="77777777" w:rsidTr="0049729E">
        <w:trPr>
          <w:trHeight w:val="357"/>
        </w:trPr>
        <w:tc>
          <w:tcPr>
            <w:tcW w:w="3749" w:type="dxa"/>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0E653882" w14:textId="77777777" w:rsidR="005A32AB" w:rsidRPr="005A32AB" w:rsidRDefault="005A32AB" w:rsidP="005A32AB">
            <w:r w:rsidRPr="005A32AB">
              <w:t xml:space="preserve">Item iv(a)(1): Progress with the Privacy Improvement Plan (PIP) delivery until June 2025, and </w:t>
            </w:r>
            <w:proofErr w:type="spellStart"/>
            <w:r w:rsidRPr="005A32AB">
              <w:t>Oranga</w:t>
            </w:r>
            <w:proofErr w:type="spellEnd"/>
            <w:r w:rsidRPr="005A32AB">
              <w:t xml:space="preserve"> Tamariki longer-term responses to the Privacy Review findings post June 2025. (Action 14) </w:t>
            </w:r>
          </w:p>
        </w:tc>
        <w:tc>
          <w:tcPr>
            <w:tcW w:w="5041" w:type="dxa"/>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5C357D69" w14:textId="77777777" w:rsidR="005A32AB" w:rsidRPr="005A32AB" w:rsidRDefault="005A32AB" w:rsidP="005A32AB">
            <w:r w:rsidRPr="005A32AB">
              <w:t>Memo provided to OPC on 19 Nov with evidence for closure of action 14. A new Privacy Improvement Plan is now being developed following the completion of </w:t>
            </w:r>
            <w:proofErr w:type="gramStart"/>
            <w:r w:rsidRPr="005A32AB">
              <w:t>the majority of</w:t>
            </w:r>
            <w:proofErr w:type="gramEnd"/>
            <w:r w:rsidRPr="005A32AB">
              <w:t> compliance notice requirements/actions and will also include some longer-term responses to the Privacy Review findings.</w:t>
            </w:r>
          </w:p>
        </w:tc>
        <w:tc>
          <w:tcPr>
            <w:tcW w:w="1417" w:type="dxa"/>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0B19091A" w14:textId="77777777" w:rsidR="005A32AB" w:rsidRPr="005A32AB" w:rsidRDefault="005A32AB" w:rsidP="005A32AB">
            <w:r w:rsidRPr="005A32AB">
              <w:t>Action 14 closed</w:t>
            </w:r>
          </w:p>
        </w:tc>
      </w:tr>
      <w:tr w:rsidR="0049729E" w:rsidRPr="005A32AB" w14:paraId="414E03B5" w14:textId="77777777" w:rsidTr="0049729E">
        <w:trPr>
          <w:trHeight w:val="357"/>
        </w:trPr>
        <w:tc>
          <w:tcPr>
            <w:tcW w:w="3749" w:type="dxa"/>
            <w:tcBorders>
              <w:top w:val="single" w:sz="8" w:space="0" w:color="FFFFFF"/>
              <w:left w:val="single" w:sz="8" w:space="0" w:color="FFFFFF"/>
              <w:bottom w:val="single" w:sz="8" w:space="0" w:color="FFFFFF"/>
              <w:right w:val="single" w:sz="8" w:space="0" w:color="FFFFFF"/>
            </w:tcBorders>
            <w:shd w:val="clear" w:color="auto" w:fill="CCDAEC"/>
            <w:tcMar>
              <w:top w:w="72" w:type="dxa"/>
              <w:left w:w="144" w:type="dxa"/>
              <w:bottom w:w="72" w:type="dxa"/>
              <w:right w:w="144" w:type="dxa"/>
            </w:tcMar>
            <w:hideMark/>
          </w:tcPr>
          <w:p w14:paraId="51DAA3F9" w14:textId="77777777" w:rsidR="005A32AB" w:rsidRPr="005A32AB" w:rsidRDefault="005A32AB" w:rsidP="005A32AB">
            <w:r w:rsidRPr="005A32AB">
              <w:t>Item iv(a)(2): A documented explicit requirement for all staff and non-</w:t>
            </w:r>
            <w:proofErr w:type="spellStart"/>
            <w:r w:rsidRPr="005A32AB">
              <w:t>Oranga</w:t>
            </w:r>
            <w:proofErr w:type="spellEnd"/>
            <w:r w:rsidRPr="005A32AB">
              <w:t xml:space="preserve"> Tamariki personnel with access to </w:t>
            </w:r>
            <w:proofErr w:type="spellStart"/>
            <w:r w:rsidRPr="005A32AB">
              <w:t>Oranga</w:t>
            </w:r>
            <w:proofErr w:type="spellEnd"/>
            <w:r w:rsidRPr="005A32AB">
              <w:t xml:space="preserve"> Tamariki personal information to report privacy incidents promptly to the privacy team. (Action 15)</w:t>
            </w:r>
          </w:p>
        </w:tc>
        <w:tc>
          <w:tcPr>
            <w:tcW w:w="5041" w:type="dxa"/>
            <w:tcBorders>
              <w:top w:val="single" w:sz="8" w:space="0" w:color="FFFFFF"/>
              <w:left w:val="single" w:sz="8" w:space="0" w:color="FFFFFF"/>
              <w:bottom w:val="single" w:sz="8" w:space="0" w:color="FFFFFF"/>
              <w:right w:val="single" w:sz="8" w:space="0" w:color="FFFFFF"/>
            </w:tcBorders>
            <w:shd w:val="clear" w:color="auto" w:fill="CCDAEC"/>
            <w:tcMar>
              <w:top w:w="72" w:type="dxa"/>
              <w:left w:w="144" w:type="dxa"/>
              <w:bottom w:w="72" w:type="dxa"/>
              <w:right w:w="144" w:type="dxa"/>
            </w:tcMar>
            <w:hideMark/>
          </w:tcPr>
          <w:p w14:paraId="4BD161E5" w14:textId="77777777" w:rsidR="005A32AB" w:rsidRPr="005A32AB" w:rsidRDefault="005A32AB" w:rsidP="005A32AB">
            <w:r w:rsidRPr="005A32AB">
              <w:t xml:space="preserve">Memo provided to OPC on 19 Nov with evidence for closure of action 15. The Privacy Policy has been updated. New Standard Operating Procedure will replace current Privacy Guidelines.  </w:t>
            </w:r>
          </w:p>
          <w:p w14:paraId="3AA5713F" w14:textId="77777777" w:rsidR="005A32AB" w:rsidRPr="005A32AB" w:rsidRDefault="005A32AB" w:rsidP="005A32AB">
            <w:r w:rsidRPr="005A32AB">
              <w:t xml:space="preserve">A new privacy training module explaining the need to report privacy breaches to the Privacy Team was rolled out in June 2025. This module is </w:t>
            </w:r>
            <w:r w:rsidRPr="005A32AB">
              <w:lastRenderedPageBreak/>
              <w:t>compulsory for all staff and is part of the Privacy Certification requirement for access to personal information. A copy of the training module was provided on 15 August as evidence of completion.</w:t>
            </w:r>
          </w:p>
        </w:tc>
        <w:tc>
          <w:tcPr>
            <w:tcW w:w="1417" w:type="dxa"/>
            <w:tcBorders>
              <w:top w:val="single" w:sz="8" w:space="0" w:color="FFFFFF"/>
              <w:left w:val="single" w:sz="8" w:space="0" w:color="FFFFFF"/>
              <w:bottom w:val="single" w:sz="8" w:space="0" w:color="FFFFFF"/>
              <w:right w:val="single" w:sz="8" w:space="0" w:color="FFFFFF"/>
            </w:tcBorders>
            <w:shd w:val="clear" w:color="auto" w:fill="CCDAEC"/>
            <w:tcMar>
              <w:top w:w="72" w:type="dxa"/>
              <w:left w:w="144" w:type="dxa"/>
              <w:bottom w:w="72" w:type="dxa"/>
              <w:right w:w="144" w:type="dxa"/>
            </w:tcMar>
            <w:hideMark/>
          </w:tcPr>
          <w:p w14:paraId="77F65CAB" w14:textId="77777777" w:rsidR="005A32AB" w:rsidRPr="005A32AB" w:rsidRDefault="005A32AB" w:rsidP="005A32AB">
            <w:r w:rsidRPr="005A32AB">
              <w:lastRenderedPageBreak/>
              <w:t>Action 15 closed</w:t>
            </w:r>
          </w:p>
        </w:tc>
      </w:tr>
      <w:tr w:rsidR="001A5A09" w:rsidRPr="001A5A09" w14:paraId="58EA5F7D" w14:textId="77777777" w:rsidTr="0036633C">
        <w:trPr>
          <w:trHeight w:val="357"/>
        </w:trPr>
        <w:tc>
          <w:tcPr>
            <w:tcW w:w="374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074AA711" w14:textId="1858CD8E" w:rsidR="001A5A09" w:rsidRPr="001A5A09" w:rsidRDefault="001A5A09" w:rsidP="001A5A09">
            <w:pPr>
              <w:rPr>
                <w:b/>
                <w:bCs/>
              </w:rPr>
            </w:pPr>
            <w:r w:rsidRPr="001A5A09">
              <w:rPr>
                <w:b/>
                <w:bCs/>
              </w:rPr>
              <w:t>Strengthen accountability and reporting of privacy incidents (cont’d)</w:t>
            </w:r>
          </w:p>
        </w:tc>
        <w:tc>
          <w:tcPr>
            <w:tcW w:w="504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55F7E375" w14:textId="77777777" w:rsidR="001A5A09" w:rsidRPr="001A5A09" w:rsidRDefault="001A5A09" w:rsidP="001A5A09">
            <w:pPr>
              <w:rPr>
                <w:b/>
                <w:bCs/>
              </w:rPr>
            </w:pPr>
            <w:r w:rsidRPr="001A5A09">
              <w:rPr>
                <w:b/>
                <w:bCs/>
              </w:rPr>
              <w:t>Update against actions</w:t>
            </w:r>
          </w:p>
        </w:tc>
        <w:tc>
          <w:tcPr>
            <w:tcW w:w="1417"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21DDE6C2" w14:textId="77777777" w:rsidR="001A5A09" w:rsidRPr="001A5A09" w:rsidRDefault="001A5A09" w:rsidP="001A5A09">
            <w:pPr>
              <w:rPr>
                <w:b/>
                <w:bCs/>
              </w:rPr>
            </w:pPr>
            <w:r w:rsidRPr="001A5A09">
              <w:rPr>
                <w:b/>
                <w:bCs/>
              </w:rPr>
              <w:t>Due date</w:t>
            </w:r>
          </w:p>
        </w:tc>
      </w:tr>
      <w:tr w:rsidR="004C7D74" w:rsidRPr="001A5A09" w14:paraId="54AB93BA" w14:textId="77777777" w:rsidTr="0036633C">
        <w:trPr>
          <w:trHeight w:val="357"/>
        </w:trPr>
        <w:tc>
          <w:tcPr>
            <w:tcW w:w="3749" w:type="dxa"/>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325E3566" w14:textId="77777777" w:rsidR="001A5A09" w:rsidRPr="001A5A09" w:rsidRDefault="001A5A09" w:rsidP="001A5A09">
            <w:r w:rsidRPr="001A5A09">
              <w:t xml:space="preserve">Item iv(a)(3): Privacy incidents (breaches and </w:t>
            </w:r>
            <w:proofErr w:type="gramStart"/>
            <w:r w:rsidRPr="001A5A09">
              <w:t>near-miss</w:t>
            </w:r>
            <w:proofErr w:type="gramEnd"/>
            <w:r w:rsidRPr="001A5A09">
              <w:t>) occurring, as well as insights and trend analysis. (Action 16) </w:t>
            </w:r>
          </w:p>
        </w:tc>
        <w:tc>
          <w:tcPr>
            <w:tcW w:w="5041" w:type="dxa"/>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63334E9D" w14:textId="77777777" w:rsidR="001A5A09" w:rsidRPr="001A5A09" w:rsidRDefault="001A5A09" w:rsidP="001A5A09">
            <w:r w:rsidRPr="001A5A09">
              <w:t xml:space="preserve">Memo provided to OPC on 19 Nov with evidence for closure of action 16. Counts of privacy incidents, including both breaches and </w:t>
            </w:r>
            <w:proofErr w:type="gramStart"/>
            <w:r w:rsidRPr="001A5A09">
              <w:t>near-misses</w:t>
            </w:r>
            <w:proofErr w:type="gramEnd"/>
            <w:r w:rsidRPr="001A5A09">
              <w:t xml:space="preserve"> are reported to the Risk and Assurance Committee and the OPC. Trend analysis is included in the cover letter. </w:t>
            </w:r>
          </w:p>
        </w:tc>
        <w:tc>
          <w:tcPr>
            <w:tcW w:w="1417" w:type="dxa"/>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425BBE98" w14:textId="77777777" w:rsidR="001A5A09" w:rsidRPr="001A5A09" w:rsidRDefault="001A5A09" w:rsidP="001A5A09">
            <w:r w:rsidRPr="001A5A09">
              <w:t>Action 16 closed</w:t>
            </w:r>
          </w:p>
        </w:tc>
      </w:tr>
      <w:tr w:rsidR="001A5A09" w:rsidRPr="001A5A09" w14:paraId="33173408" w14:textId="77777777" w:rsidTr="0036633C">
        <w:trPr>
          <w:trHeight w:val="357"/>
        </w:trPr>
        <w:tc>
          <w:tcPr>
            <w:tcW w:w="3749" w:type="dxa"/>
            <w:tcBorders>
              <w:top w:val="single" w:sz="8" w:space="0" w:color="FFFFFF"/>
              <w:left w:val="single" w:sz="8" w:space="0" w:color="FFFFFF"/>
              <w:bottom w:val="single" w:sz="8" w:space="0" w:color="FFFFFF"/>
              <w:right w:val="single" w:sz="8" w:space="0" w:color="FFFFFF"/>
            </w:tcBorders>
            <w:shd w:val="clear" w:color="auto" w:fill="CCDAEC"/>
            <w:tcMar>
              <w:top w:w="72" w:type="dxa"/>
              <w:left w:w="144" w:type="dxa"/>
              <w:bottom w:w="72" w:type="dxa"/>
              <w:right w:w="144" w:type="dxa"/>
            </w:tcMar>
            <w:hideMark/>
          </w:tcPr>
          <w:p w14:paraId="554F1D7C" w14:textId="77777777" w:rsidR="001A5A09" w:rsidRPr="001A5A09" w:rsidRDefault="001A5A09" w:rsidP="001A5A09">
            <w:r w:rsidRPr="001A5A09">
              <w:t>Item iv(a)(4): Completion rates for training uptake by all staff and contractors, aligned to an identified completion target for all personnel. (Action 17) </w:t>
            </w:r>
          </w:p>
        </w:tc>
        <w:tc>
          <w:tcPr>
            <w:tcW w:w="5041" w:type="dxa"/>
            <w:tcBorders>
              <w:top w:val="single" w:sz="8" w:space="0" w:color="FFFFFF"/>
              <w:left w:val="single" w:sz="8" w:space="0" w:color="FFFFFF"/>
              <w:bottom w:val="single" w:sz="8" w:space="0" w:color="FFFFFF"/>
              <w:right w:val="single" w:sz="8" w:space="0" w:color="FFFFFF"/>
            </w:tcBorders>
            <w:shd w:val="clear" w:color="auto" w:fill="CCDAEC"/>
            <w:tcMar>
              <w:top w:w="72" w:type="dxa"/>
              <w:left w:w="144" w:type="dxa"/>
              <w:bottom w:w="72" w:type="dxa"/>
              <w:right w:w="144" w:type="dxa"/>
            </w:tcMar>
            <w:hideMark/>
          </w:tcPr>
          <w:p w14:paraId="572B12DC" w14:textId="77777777" w:rsidR="001A5A09" w:rsidRPr="001A5A09" w:rsidRDefault="001A5A09" w:rsidP="001A5A09">
            <w:r w:rsidRPr="001A5A09">
              <w:t>Memo provided to OPC on 19 Nov with evidence for closure of action 17. The target for completion of mandatory privacy training is 100%. A checklist and the privacy declaration </w:t>
            </w:r>
            <w:proofErr w:type="gramStart"/>
            <w:r w:rsidRPr="001A5A09">
              <w:t>links</w:t>
            </w:r>
            <w:proofErr w:type="gramEnd"/>
            <w:r w:rsidRPr="001A5A09">
              <w:t xml:space="preserve"> this learning to relevant content in the Acceptable Use of </w:t>
            </w:r>
            <w:proofErr w:type="spellStart"/>
            <w:r w:rsidRPr="001A5A09">
              <w:t>Oranga</w:t>
            </w:r>
            <w:proofErr w:type="spellEnd"/>
            <w:r w:rsidRPr="001A5A09">
              <w:t xml:space="preserve"> Tamariki Technology and Services and the Code of Conduct. </w:t>
            </w:r>
          </w:p>
          <w:p w14:paraId="2A7F6295" w14:textId="77777777" w:rsidR="001A5A09" w:rsidRPr="001A5A09" w:rsidRDefault="001A5A09" w:rsidP="001A5A09">
            <w:r w:rsidRPr="001A5A09">
              <w:t>Managers have access to training records and are responsible for following up with team members who have not completed their training. Automated reminders are also sent by the myLearn system.</w:t>
            </w:r>
          </w:p>
        </w:tc>
        <w:tc>
          <w:tcPr>
            <w:tcW w:w="1417" w:type="dxa"/>
            <w:tcBorders>
              <w:top w:val="single" w:sz="8" w:space="0" w:color="FFFFFF"/>
              <w:left w:val="single" w:sz="8" w:space="0" w:color="FFFFFF"/>
              <w:bottom w:val="single" w:sz="8" w:space="0" w:color="FFFFFF"/>
              <w:right w:val="single" w:sz="8" w:space="0" w:color="FFFFFF"/>
            </w:tcBorders>
            <w:shd w:val="clear" w:color="auto" w:fill="CCDAEC"/>
            <w:tcMar>
              <w:top w:w="72" w:type="dxa"/>
              <w:left w:w="144" w:type="dxa"/>
              <w:bottom w:w="72" w:type="dxa"/>
              <w:right w:w="144" w:type="dxa"/>
            </w:tcMar>
            <w:hideMark/>
          </w:tcPr>
          <w:p w14:paraId="73F5ADBD" w14:textId="77777777" w:rsidR="001A5A09" w:rsidRPr="001A5A09" w:rsidRDefault="001A5A09" w:rsidP="001A5A09">
            <w:r w:rsidRPr="001A5A09">
              <w:t>Action 17 closed</w:t>
            </w:r>
          </w:p>
        </w:tc>
      </w:tr>
      <w:tr w:rsidR="004C7D74" w:rsidRPr="001A5A09" w14:paraId="4A60B1AA" w14:textId="77777777" w:rsidTr="0036633C">
        <w:trPr>
          <w:trHeight w:val="357"/>
        </w:trPr>
        <w:tc>
          <w:tcPr>
            <w:tcW w:w="3749" w:type="dxa"/>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0D463C7B" w14:textId="15F2688C" w:rsidR="001A5A09" w:rsidRPr="001A5A09" w:rsidRDefault="001A5A09" w:rsidP="001A5A09">
            <w:r w:rsidRPr="001A5A09">
              <w:t xml:space="preserve">Item iv(a)(5): Develop and deliver a privacy reporting performance framework that includes implementation of controls and recommendations identified in Privacy Impact Assessments. </w:t>
            </w:r>
            <w:r w:rsidR="0036633C">
              <w:t>(A</w:t>
            </w:r>
            <w:r w:rsidRPr="001A5A09">
              <w:t>ction 18)</w:t>
            </w:r>
          </w:p>
        </w:tc>
        <w:tc>
          <w:tcPr>
            <w:tcW w:w="5041" w:type="dxa"/>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5A8AE504" w14:textId="77777777" w:rsidR="001A5A09" w:rsidRPr="001A5A09" w:rsidRDefault="001A5A09" w:rsidP="001A5A09">
            <w:r w:rsidRPr="001A5A09">
              <w:t xml:space="preserve">The draft business case (BC) seeking the approval/funding to stand up a privacy assurance function, uplifting information sharing advice function and the Privacy operations team to cover the increased amount of operational work has been put on hold until more complex reorganisation of the </w:t>
            </w:r>
            <w:proofErr w:type="spellStart"/>
            <w:r w:rsidRPr="001A5A09">
              <w:t>Oranga</w:t>
            </w:r>
            <w:proofErr w:type="spellEnd"/>
            <w:r w:rsidRPr="001A5A09">
              <w:t xml:space="preserve"> Tamariki resources. The work to build some foundational tools for assurance will start in early 2026. </w:t>
            </w:r>
          </w:p>
          <w:p w14:paraId="1D80BC59" w14:textId="77777777" w:rsidR="001A5A09" w:rsidRPr="001A5A09" w:rsidRDefault="001A5A09" w:rsidP="001A5A09">
            <w:r w:rsidRPr="001A5A09">
              <w:t>Extension to Action 18 is being sought, which should allow to build necessary tools and bring onboard resources to monitor risks recognised in Privacy Impact Assessments.</w:t>
            </w:r>
          </w:p>
        </w:tc>
        <w:tc>
          <w:tcPr>
            <w:tcW w:w="1417" w:type="dxa"/>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6EC65967" w14:textId="0FA179EF" w:rsidR="001A5A09" w:rsidRPr="001A5A09" w:rsidRDefault="001A5A09" w:rsidP="001A5A09">
            <w:r w:rsidRPr="001A5A09">
              <w:t xml:space="preserve">Action 18 </w:t>
            </w:r>
            <w:proofErr w:type="spellStart"/>
            <w:r w:rsidRPr="001A5A09">
              <w:t>extens</w:t>
            </w:r>
            <w:proofErr w:type="spellEnd"/>
            <w:r w:rsidR="0036633C">
              <w:br/>
            </w:r>
            <w:r w:rsidRPr="001A5A09">
              <w:t xml:space="preserve">ion requested </w:t>
            </w:r>
          </w:p>
        </w:tc>
      </w:tr>
      <w:tr w:rsidR="001A5A09" w:rsidRPr="001A5A09" w14:paraId="292A0344" w14:textId="77777777" w:rsidTr="0036633C">
        <w:trPr>
          <w:trHeight w:val="357"/>
        </w:trPr>
        <w:tc>
          <w:tcPr>
            <w:tcW w:w="3749" w:type="dxa"/>
            <w:tcBorders>
              <w:top w:val="single" w:sz="8" w:space="0" w:color="FFFFFF"/>
              <w:left w:val="single" w:sz="8" w:space="0" w:color="FFFFFF"/>
              <w:bottom w:val="single" w:sz="8" w:space="0" w:color="FFFFFF"/>
              <w:right w:val="single" w:sz="8" w:space="0" w:color="FFFFFF"/>
            </w:tcBorders>
            <w:shd w:val="clear" w:color="auto" w:fill="CCDAEC"/>
            <w:tcMar>
              <w:top w:w="72" w:type="dxa"/>
              <w:left w:w="144" w:type="dxa"/>
              <w:bottom w:w="72" w:type="dxa"/>
              <w:right w:w="144" w:type="dxa"/>
            </w:tcMar>
            <w:hideMark/>
          </w:tcPr>
          <w:p w14:paraId="7A8C9A4D" w14:textId="77777777" w:rsidR="001A5A09" w:rsidRPr="001A5A09" w:rsidRDefault="001A5A09" w:rsidP="001A5A09">
            <w:r w:rsidRPr="001A5A09">
              <w:lastRenderedPageBreak/>
              <w:t>Item iv(a)(6) Develop and deliver a privacy reporting performance framework that includes the effectiveness of the information access control settings. (Action 19)</w:t>
            </w:r>
          </w:p>
        </w:tc>
        <w:tc>
          <w:tcPr>
            <w:tcW w:w="5041" w:type="dxa"/>
            <w:tcBorders>
              <w:top w:val="single" w:sz="8" w:space="0" w:color="FFFFFF"/>
              <w:left w:val="single" w:sz="8" w:space="0" w:color="FFFFFF"/>
              <w:bottom w:val="single" w:sz="8" w:space="0" w:color="FFFFFF"/>
              <w:right w:val="single" w:sz="8" w:space="0" w:color="FFFFFF"/>
            </w:tcBorders>
            <w:shd w:val="clear" w:color="auto" w:fill="CCDAEC"/>
            <w:tcMar>
              <w:top w:w="72" w:type="dxa"/>
              <w:left w:w="144" w:type="dxa"/>
              <w:bottom w:w="72" w:type="dxa"/>
              <w:right w:w="144" w:type="dxa"/>
            </w:tcMar>
            <w:hideMark/>
          </w:tcPr>
          <w:p w14:paraId="7F086A1D" w14:textId="77777777" w:rsidR="001A5A09" w:rsidRPr="001A5A09" w:rsidRDefault="001A5A09" w:rsidP="001A5A09">
            <w:r w:rsidRPr="001A5A09">
              <w:t xml:space="preserve">This action has been addressed in Privacy Improvement Plan. It is also partially dependent on the BC discussed above, as to the staff monitoring the effectiveness. </w:t>
            </w:r>
          </w:p>
          <w:p w14:paraId="00DBDB57" w14:textId="77777777" w:rsidR="001A5A09" w:rsidRPr="001A5A09" w:rsidRDefault="001A5A09" w:rsidP="001A5A09">
            <w:r w:rsidRPr="001A5A09">
              <w:t>Privacy Improvement Plan identifies the way to embed the new controls over information access and aims to implement some of those measures.</w:t>
            </w:r>
          </w:p>
        </w:tc>
        <w:tc>
          <w:tcPr>
            <w:tcW w:w="1417" w:type="dxa"/>
            <w:tcBorders>
              <w:top w:val="single" w:sz="8" w:space="0" w:color="FFFFFF"/>
              <w:left w:val="single" w:sz="8" w:space="0" w:color="FFFFFF"/>
              <w:bottom w:val="single" w:sz="8" w:space="0" w:color="FFFFFF"/>
              <w:right w:val="single" w:sz="8" w:space="0" w:color="FFFFFF"/>
            </w:tcBorders>
            <w:shd w:val="clear" w:color="auto" w:fill="CCDAEC"/>
            <w:tcMar>
              <w:top w:w="72" w:type="dxa"/>
              <w:left w:w="144" w:type="dxa"/>
              <w:bottom w:w="72" w:type="dxa"/>
              <w:right w:w="144" w:type="dxa"/>
            </w:tcMar>
            <w:hideMark/>
          </w:tcPr>
          <w:p w14:paraId="0D7A5560" w14:textId="77777777" w:rsidR="001A5A09" w:rsidRPr="001A5A09" w:rsidRDefault="001A5A09" w:rsidP="001A5A09">
            <w:r w:rsidRPr="001A5A09">
              <w:t>Action 19 due 30 March 2026</w:t>
            </w:r>
          </w:p>
        </w:tc>
      </w:tr>
    </w:tbl>
    <w:p w14:paraId="4E18AC24" w14:textId="77777777" w:rsidR="007705DE" w:rsidRPr="007705DE" w:rsidRDefault="007705DE" w:rsidP="00306D83"/>
    <w:sectPr w:rsidR="007705DE" w:rsidRPr="007705DE" w:rsidSect="009F1280">
      <w:headerReference w:type="even" r:id="rId13"/>
      <w:headerReference w:type="default" r:id="rId14"/>
      <w:headerReference w:type="firs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38C1A" w14:textId="77777777" w:rsidR="004313E5" w:rsidRDefault="004313E5" w:rsidP="00413D37">
      <w:pPr>
        <w:spacing w:after="0" w:line="240" w:lineRule="auto"/>
      </w:pPr>
      <w:r>
        <w:separator/>
      </w:r>
    </w:p>
  </w:endnote>
  <w:endnote w:type="continuationSeparator" w:id="0">
    <w:p w14:paraId="11F221CE" w14:textId="77777777" w:rsidR="004313E5" w:rsidRDefault="004313E5" w:rsidP="00413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74FEB" w14:textId="77777777" w:rsidR="004313E5" w:rsidRDefault="004313E5" w:rsidP="00413D37">
      <w:pPr>
        <w:spacing w:after="0" w:line="240" w:lineRule="auto"/>
      </w:pPr>
      <w:r>
        <w:separator/>
      </w:r>
    </w:p>
  </w:footnote>
  <w:footnote w:type="continuationSeparator" w:id="0">
    <w:p w14:paraId="2BE182F7" w14:textId="77777777" w:rsidR="004313E5" w:rsidRDefault="004313E5" w:rsidP="00413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F2D3" w14:textId="5CDCC8D8" w:rsidR="00413D37" w:rsidRDefault="004C5CCB">
    <w:pPr>
      <w:pStyle w:val="Header"/>
    </w:pPr>
    <w:r>
      <w:rPr>
        <w:noProof/>
      </w:rPr>
      <mc:AlternateContent>
        <mc:Choice Requires="wps">
          <w:drawing>
            <wp:anchor distT="0" distB="0" distL="0" distR="0" simplePos="0" relativeHeight="251659264" behindDoc="0" locked="0" layoutInCell="1" allowOverlap="1" wp14:anchorId="1D11EC26" wp14:editId="1AF8AD9B">
              <wp:simplePos x="635" y="635"/>
              <wp:positionH relativeFrom="page">
                <wp:align>center</wp:align>
              </wp:positionH>
              <wp:positionV relativeFrom="page">
                <wp:align>top</wp:align>
              </wp:positionV>
              <wp:extent cx="1173480" cy="424815"/>
              <wp:effectExtent l="0" t="0" r="7620" b="13335"/>
              <wp:wrapNone/>
              <wp:docPr id="392362408"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3480" cy="424815"/>
                      </a:xfrm>
                      <a:prstGeom prst="rect">
                        <a:avLst/>
                      </a:prstGeom>
                      <a:noFill/>
                      <a:ln>
                        <a:noFill/>
                      </a:ln>
                    </wps:spPr>
                    <wps:txbx>
                      <w:txbxContent>
                        <w:p w14:paraId="50DE58A0" w14:textId="7CFAD52D" w:rsidR="004C5CCB" w:rsidRPr="004C5CCB" w:rsidRDefault="004C5CCB" w:rsidP="004C5CCB">
                          <w:pPr>
                            <w:spacing w:after="0"/>
                            <w:rPr>
                              <w:rFonts w:ascii="Aptos" w:eastAsia="Aptos" w:hAnsi="Aptos" w:cs="Aptos"/>
                              <w:noProof/>
                              <w:color w:val="317100"/>
                              <w:sz w:val="28"/>
                              <w:szCs w:val="28"/>
                            </w:rPr>
                          </w:pPr>
                          <w:r w:rsidRPr="004C5CCB">
                            <w:rPr>
                              <w:rFonts w:ascii="Aptos" w:eastAsia="Aptos" w:hAnsi="Aptos" w:cs="Aptos"/>
                              <w:noProof/>
                              <w:color w:val="317100"/>
                              <w:sz w:val="28"/>
                              <w:szCs w:val="28"/>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11EC26" id="_x0000_t202" coordsize="21600,21600" o:spt="202" path="m,l,21600r21600,l21600,xe">
              <v:stroke joinstyle="miter"/>
              <v:path gradientshapeok="t" o:connecttype="rect"/>
            </v:shapetype>
            <v:shape id="Text Box 2" o:spid="_x0000_s1026" type="#_x0000_t202" alt="UNCLASSIFIED" style="position:absolute;margin-left:0;margin-top:0;width:92.4pt;height:33.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" filled="f" stroked="f">
              <v:textbox style="mso-fit-shape-to-text:t" inset="0,15pt,0,0">
                <w:txbxContent>
                  <w:p w14:paraId="50DE58A0" w14:textId="7CFAD52D" w:rsidR="004C5CCB" w:rsidRPr="004C5CCB" w:rsidRDefault="004C5CCB" w:rsidP="004C5CCB">
                    <w:pPr>
                      <w:spacing w:after="0"/>
                      <w:rPr>
                        <w:rFonts w:ascii="Aptos" w:eastAsia="Aptos" w:hAnsi="Aptos" w:cs="Aptos"/>
                        <w:noProof/>
                        <w:color w:val="317100"/>
                        <w:sz w:val="28"/>
                        <w:szCs w:val="28"/>
                      </w:rPr>
                    </w:pPr>
                    <w:r w:rsidRPr="004C5CCB">
                      <w:rPr>
                        <w:rFonts w:ascii="Aptos" w:eastAsia="Aptos" w:hAnsi="Aptos" w:cs="Aptos"/>
                        <w:noProof/>
                        <w:color w:val="317100"/>
                        <w:sz w:val="28"/>
                        <w:szCs w:val="28"/>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9E25" w14:textId="28BFEC42" w:rsidR="00413D37" w:rsidRDefault="004C5CCB">
    <w:pPr>
      <w:pStyle w:val="Header"/>
    </w:pPr>
    <w:r>
      <w:rPr>
        <w:noProof/>
      </w:rPr>
      <mc:AlternateContent>
        <mc:Choice Requires="wps">
          <w:drawing>
            <wp:anchor distT="0" distB="0" distL="0" distR="0" simplePos="0" relativeHeight="251660288" behindDoc="0" locked="0" layoutInCell="1" allowOverlap="1" wp14:anchorId="65D7570C" wp14:editId="7C014B22">
              <wp:simplePos x="914400" y="447675"/>
              <wp:positionH relativeFrom="page">
                <wp:align>center</wp:align>
              </wp:positionH>
              <wp:positionV relativeFrom="page">
                <wp:align>top</wp:align>
              </wp:positionV>
              <wp:extent cx="1173480" cy="424815"/>
              <wp:effectExtent l="0" t="0" r="7620" b="13335"/>
              <wp:wrapNone/>
              <wp:docPr id="1235296738"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3480" cy="424815"/>
                      </a:xfrm>
                      <a:prstGeom prst="rect">
                        <a:avLst/>
                      </a:prstGeom>
                      <a:noFill/>
                      <a:ln>
                        <a:noFill/>
                      </a:ln>
                    </wps:spPr>
                    <wps:txbx>
                      <w:txbxContent>
                        <w:p w14:paraId="794191B3" w14:textId="637F8699" w:rsidR="004C5CCB" w:rsidRPr="004C5CCB" w:rsidRDefault="004C5CCB" w:rsidP="004C5CCB">
                          <w:pPr>
                            <w:spacing w:after="0"/>
                            <w:rPr>
                              <w:rFonts w:ascii="Aptos" w:eastAsia="Aptos" w:hAnsi="Aptos" w:cs="Aptos"/>
                              <w:noProof/>
                              <w:color w:val="317100"/>
                              <w:sz w:val="28"/>
                              <w:szCs w:val="28"/>
                            </w:rPr>
                          </w:pPr>
                          <w:r w:rsidRPr="004C5CCB">
                            <w:rPr>
                              <w:rFonts w:ascii="Aptos" w:eastAsia="Aptos" w:hAnsi="Aptos" w:cs="Aptos"/>
                              <w:noProof/>
                              <w:color w:val="317100"/>
                              <w:sz w:val="28"/>
                              <w:szCs w:val="28"/>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D7570C" id="_x0000_t202" coordsize="21600,21600" o:spt="202" path="m,l,21600r21600,l21600,xe">
              <v:stroke joinstyle="miter"/>
              <v:path gradientshapeok="t" o:connecttype="rect"/>
            </v:shapetype>
            <v:shape id="Text Box 3" o:spid="_x0000_s1027" type="#_x0000_t202" alt="UNCLASSIFIED" style="position:absolute;margin-left:0;margin-top:0;width:92.4pt;height:33.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" filled="f" stroked="f">
              <v:textbox style="mso-fit-shape-to-text:t" inset="0,15pt,0,0">
                <w:txbxContent>
                  <w:p w14:paraId="794191B3" w14:textId="637F8699" w:rsidR="004C5CCB" w:rsidRPr="004C5CCB" w:rsidRDefault="004C5CCB" w:rsidP="004C5CCB">
                    <w:pPr>
                      <w:spacing w:after="0"/>
                      <w:rPr>
                        <w:rFonts w:ascii="Aptos" w:eastAsia="Aptos" w:hAnsi="Aptos" w:cs="Aptos"/>
                        <w:noProof/>
                        <w:color w:val="317100"/>
                        <w:sz w:val="28"/>
                        <w:szCs w:val="28"/>
                      </w:rPr>
                    </w:pPr>
                    <w:r w:rsidRPr="004C5CCB">
                      <w:rPr>
                        <w:rFonts w:ascii="Aptos" w:eastAsia="Aptos" w:hAnsi="Aptos" w:cs="Aptos"/>
                        <w:noProof/>
                        <w:color w:val="317100"/>
                        <w:sz w:val="28"/>
                        <w:szCs w:val="28"/>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0A3F" w14:textId="108D07F5" w:rsidR="00413D37" w:rsidRDefault="004C5CCB">
    <w:pPr>
      <w:pStyle w:val="Header"/>
    </w:pPr>
    <w:r>
      <w:rPr>
        <w:noProof/>
      </w:rPr>
      <mc:AlternateContent>
        <mc:Choice Requires="wps">
          <w:drawing>
            <wp:anchor distT="0" distB="0" distL="0" distR="0" simplePos="0" relativeHeight="251658240" behindDoc="0" locked="0" layoutInCell="1" allowOverlap="1" wp14:anchorId="0D770405" wp14:editId="1B14EDC8">
              <wp:simplePos x="635" y="635"/>
              <wp:positionH relativeFrom="page">
                <wp:align>center</wp:align>
              </wp:positionH>
              <wp:positionV relativeFrom="page">
                <wp:align>top</wp:align>
              </wp:positionV>
              <wp:extent cx="1173480" cy="424815"/>
              <wp:effectExtent l="0" t="0" r="7620" b="13335"/>
              <wp:wrapNone/>
              <wp:docPr id="1190198118"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3480" cy="424815"/>
                      </a:xfrm>
                      <a:prstGeom prst="rect">
                        <a:avLst/>
                      </a:prstGeom>
                      <a:noFill/>
                      <a:ln>
                        <a:noFill/>
                      </a:ln>
                    </wps:spPr>
                    <wps:txbx>
                      <w:txbxContent>
                        <w:p w14:paraId="5A98583C" w14:textId="217DE657" w:rsidR="004C5CCB" w:rsidRPr="004C5CCB" w:rsidRDefault="004C5CCB" w:rsidP="004C5CCB">
                          <w:pPr>
                            <w:spacing w:after="0"/>
                            <w:rPr>
                              <w:rFonts w:ascii="Aptos" w:eastAsia="Aptos" w:hAnsi="Aptos" w:cs="Aptos"/>
                              <w:noProof/>
                              <w:color w:val="317100"/>
                              <w:sz w:val="28"/>
                              <w:szCs w:val="28"/>
                            </w:rPr>
                          </w:pPr>
                          <w:r w:rsidRPr="004C5CCB">
                            <w:rPr>
                              <w:rFonts w:ascii="Aptos" w:eastAsia="Aptos" w:hAnsi="Aptos" w:cs="Aptos"/>
                              <w:noProof/>
                              <w:color w:val="317100"/>
                              <w:sz w:val="28"/>
                              <w:szCs w:val="28"/>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70405" id="_x0000_t202" coordsize="21600,21600" o:spt="202" path="m,l,21600r21600,l21600,xe">
              <v:stroke joinstyle="miter"/>
              <v:path gradientshapeok="t" o:connecttype="rect"/>
            </v:shapetype>
            <v:shape id="Text Box 1" o:spid="_x0000_s1028" type="#_x0000_t202" alt="UNCLASSIFIED" style="position:absolute;margin-left:0;margin-top:0;width:92.4pt;height:33.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" filled="f" stroked="f">
              <v:textbox style="mso-fit-shape-to-text:t" inset="0,15pt,0,0">
                <w:txbxContent>
                  <w:p w14:paraId="5A98583C" w14:textId="217DE657" w:rsidR="004C5CCB" w:rsidRPr="004C5CCB" w:rsidRDefault="004C5CCB" w:rsidP="004C5CCB">
                    <w:pPr>
                      <w:spacing w:after="0"/>
                      <w:rPr>
                        <w:rFonts w:ascii="Aptos" w:eastAsia="Aptos" w:hAnsi="Aptos" w:cs="Aptos"/>
                        <w:noProof/>
                        <w:color w:val="317100"/>
                        <w:sz w:val="28"/>
                        <w:szCs w:val="28"/>
                      </w:rPr>
                    </w:pPr>
                    <w:r w:rsidRPr="004C5CCB">
                      <w:rPr>
                        <w:rFonts w:ascii="Aptos" w:eastAsia="Aptos" w:hAnsi="Aptos" w:cs="Aptos"/>
                        <w:noProof/>
                        <w:color w:val="317100"/>
                        <w:sz w:val="28"/>
                        <w:szCs w:val="28"/>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D26"/>
    <w:multiLevelType w:val="hybridMultilevel"/>
    <w:tmpl w:val="66DED522"/>
    <w:lvl w:ilvl="0" w:tplc="287ED63E">
      <w:start w:val="1"/>
      <w:numFmt w:val="bullet"/>
      <w:lvlText w:val="•"/>
      <w:lvlJc w:val="left"/>
      <w:pPr>
        <w:tabs>
          <w:tab w:val="num" w:pos="720"/>
        </w:tabs>
        <w:ind w:left="720" w:hanging="360"/>
      </w:pPr>
      <w:rPr>
        <w:rFonts w:ascii="Arial,Sans-Serif" w:hAnsi="Arial,Sans-Serif" w:hint="default"/>
      </w:rPr>
    </w:lvl>
    <w:lvl w:ilvl="1" w:tplc="B518F906" w:tentative="1">
      <w:start w:val="1"/>
      <w:numFmt w:val="bullet"/>
      <w:lvlText w:val="•"/>
      <w:lvlJc w:val="left"/>
      <w:pPr>
        <w:tabs>
          <w:tab w:val="num" w:pos="1440"/>
        </w:tabs>
        <w:ind w:left="1440" w:hanging="360"/>
      </w:pPr>
      <w:rPr>
        <w:rFonts w:ascii="Arial,Sans-Serif" w:hAnsi="Arial,Sans-Serif" w:hint="default"/>
      </w:rPr>
    </w:lvl>
    <w:lvl w:ilvl="2" w:tplc="DE44502A" w:tentative="1">
      <w:start w:val="1"/>
      <w:numFmt w:val="bullet"/>
      <w:lvlText w:val="•"/>
      <w:lvlJc w:val="left"/>
      <w:pPr>
        <w:tabs>
          <w:tab w:val="num" w:pos="2160"/>
        </w:tabs>
        <w:ind w:left="2160" w:hanging="360"/>
      </w:pPr>
      <w:rPr>
        <w:rFonts w:ascii="Arial,Sans-Serif" w:hAnsi="Arial,Sans-Serif" w:hint="default"/>
      </w:rPr>
    </w:lvl>
    <w:lvl w:ilvl="3" w:tplc="DF321D56" w:tentative="1">
      <w:start w:val="1"/>
      <w:numFmt w:val="bullet"/>
      <w:lvlText w:val="•"/>
      <w:lvlJc w:val="left"/>
      <w:pPr>
        <w:tabs>
          <w:tab w:val="num" w:pos="2880"/>
        </w:tabs>
        <w:ind w:left="2880" w:hanging="360"/>
      </w:pPr>
      <w:rPr>
        <w:rFonts w:ascii="Arial,Sans-Serif" w:hAnsi="Arial,Sans-Serif" w:hint="default"/>
      </w:rPr>
    </w:lvl>
    <w:lvl w:ilvl="4" w:tplc="D9FC36D2" w:tentative="1">
      <w:start w:val="1"/>
      <w:numFmt w:val="bullet"/>
      <w:lvlText w:val="•"/>
      <w:lvlJc w:val="left"/>
      <w:pPr>
        <w:tabs>
          <w:tab w:val="num" w:pos="3600"/>
        </w:tabs>
        <w:ind w:left="3600" w:hanging="360"/>
      </w:pPr>
      <w:rPr>
        <w:rFonts w:ascii="Arial,Sans-Serif" w:hAnsi="Arial,Sans-Serif" w:hint="default"/>
      </w:rPr>
    </w:lvl>
    <w:lvl w:ilvl="5" w:tplc="8474B6DE" w:tentative="1">
      <w:start w:val="1"/>
      <w:numFmt w:val="bullet"/>
      <w:lvlText w:val="•"/>
      <w:lvlJc w:val="left"/>
      <w:pPr>
        <w:tabs>
          <w:tab w:val="num" w:pos="4320"/>
        </w:tabs>
        <w:ind w:left="4320" w:hanging="360"/>
      </w:pPr>
      <w:rPr>
        <w:rFonts w:ascii="Arial,Sans-Serif" w:hAnsi="Arial,Sans-Serif" w:hint="default"/>
      </w:rPr>
    </w:lvl>
    <w:lvl w:ilvl="6" w:tplc="050A9B8C" w:tentative="1">
      <w:start w:val="1"/>
      <w:numFmt w:val="bullet"/>
      <w:lvlText w:val="•"/>
      <w:lvlJc w:val="left"/>
      <w:pPr>
        <w:tabs>
          <w:tab w:val="num" w:pos="5040"/>
        </w:tabs>
        <w:ind w:left="5040" w:hanging="360"/>
      </w:pPr>
      <w:rPr>
        <w:rFonts w:ascii="Arial,Sans-Serif" w:hAnsi="Arial,Sans-Serif" w:hint="default"/>
      </w:rPr>
    </w:lvl>
    <w:lvl w:ilvl="7" w:tplc="E954C364" w:tentative="1">
      <w:start w:val="1"/>
      <w:numFmt w:val="bullet"/>
      <w:lvlText w:val="•"/>
      <w:lvlJc w:val="left"/>
      <w:pPr>
        <w:tabs>
          <w:tab w:val="num" w:pos="5760"/>
        </w:tabs>
        <w:ind w:left="5760" w:hanging="360"/>
      </w:pPr>
      <w:rPr>
        <w:rFonts w:ascii="Arial,Sans-Serif" w:hAnsi="Arial,Sans-Serif" w:hint="default"/>
      </w:rPr>
    </w:lvl>
    <w:lvl w:ilvl="8" w:tplc="72186060" w:tentative="1">
      <w:start w:val="1"/>
      <w:numFmt w:val="bullet"/>
      <w:lvlText w:val="•"/>
      <w:lvlJc w:val="left"/>
      <w:pPr>
        <w:tabs>
          <w:tab w:val="num" w:pos="6480"/>
        </w:tabs>
        <w:ind w:left="6480" w:hanging="360"/>
      </w:pPr>
      <w:rPr>
        <w:rFonts w:ascii="Arial,Sans-Serif" w:hAnsi="Arial,Sans-Serif" w:hint="default"/>
      </w:rPr>
    </w:lvl>
  </w:abstractNum>
  <w:abstractNum w:abstractNumId="1" w15:restartNumberingAfterBreak="0">
    <w:nsid w:val="40E37FD8"/>
    <w:multiLevelType w:val="hybridMultilevel"/>
    <w:tmpl w:val="8A10F3D6"/>
    <w:lvl w:ilvl="0" w:tplc="D9D2D846">
      <w:start w:val="1"/>
      <w:numFmt w:val="bullet"/>
      <w:lvlText w:val="-"/>
      <w:lvlJc w:val="left"/>
      <w:pPr>
        <w:tabs>
          <w:tab w:val="num" w:pos="720"/>
        </w:tabs>
        <w:ind w:left="720" w:hanging="360"/>
      </w:pPr>
      <w:rPr>
        <w:rFonts w:ascii="Calibri" w:hAnsi="Calibri" w:hint="default"/>
      </w:rPr>
    </w:lvl>
    <w:lvl w:ilvl="1" w:tplc="748ECA72" w:tentative="1">
      <w:start w:val="1"/>
      <w:numFmt w:val="bullet"/>
      <w:lvlText w:val="-"/>
      <w:lvlJc w:val="left"/>
      <w:pPr>
        <w:tabs>
          <w:tab w:val="num" w:pos="1440"/>
        </w:tabs>
        <w:ind w:left="1440" w:hanging="360"/>
      </w:pPr>
      <w:rPr>
        <w:rFonts w:ascii="Calibri" w:hAnsi="Calibri" w:hint="default"/>
      </w:rPr>
    </w:lvl>
    <w:lvl w:ilvl="2" w:tplc="EC447D9C" w:tentative="1">
      <w:start w:val="1"/>
      <w:numFmt w:val="bullet"/>
      <w:lvlText w:val="-"/>
      <w:lvlJc w:val="left"/>
      <w:pPr>
        <w:tabs>
          <w:tab w:val="num" w:pos="2160"/>
        </w:tabs>
        <w:ind w:left="2160" w:hanging="360"/>
      </w:pPr>
      <w:rPr>
        <w:rFonts w:ascii="Calibri" w:hAnsi="Calibri" w:hint="default"/>
      </w:rPr>
    </w:lvl>
    <w:lvl w:ilvl="3" w:tplc="26306F7C" w:tentative="1">
      <w:start w:val="1"/>
      <w:numFmt w:val="bullet"/>
      <w:lvlText w:val="-"/>
      <w:lvlJc w:val="left"/>
      <w:pPr>
        <w:tabs>
          <w:tab w:val="num" w:pos="2880"/>
        </w:tabs>
        <w:ind w:left="2880" w:hanging="360"/>
      </w:pPr>
      <w:rPr>
        <w:rFonts w:ascii="Calibri" w:hAnsi="Calibri" w:hint="default"/>
      </w:rPr>
    </w:lvl>
    <w:lvl w:ilvl="4" w:tplc="84F89E6A" w:tentative="1">
      <w:start w:val="1"/>
      <w:numFmt w:val="bullet"/>
      <w:lvlText w:val="-"/>
      <w:lvlJc w:val="left"/>
      <w:pPr>
        <w:tabs>
          <w:tab w:val="num" w:pos="3600"/>
        </w:tabs>
        <w:ind w:left="3600" w:hanging="360"/>
      </w:pPr>
      <w:rPr>
        <w:rFonts w:ascii="Calibri" w:hAnsi="Calibri" w:hint="default"/>
      </w:rPr>
    </w:lvl>
    <w:lvl w:ilvl="5" w:tplc="FACCE60C" w:tentative="1">
      <w:start w:val="1"/>
      <w:numFmt w:val="bullet"/>
      <w:lvlText w:val="-"/>
      <w:lvlJc w:val="left"/>
      <w:pPr>
        <w:tabs>
          <w:tab w:val="num" w:pos="4320"/>
        </w:tabs>
        <w:ind w:left="4320" w:hanging="360"/>
      </w:pPr>
      <w:rPr>
        <w:rFonts w:ascii="Calibri" w:hAnsi="Calibri" w:hint="default"/>
      </w:rPr>
    </w:lvl>
    <w:lvl w:ilvl="6" w:tplc="15966546" w:tentative="1">
      <w:start w:val="1"/>
      <w:numFmt w:val="bullet"/>
      <w:lvlText w:val="-"/>
      <w:lvlJc w:val="left"/>
      <w:pPr>
        <w:tabs>
          <w:tab w:val="num" w:pos="5040"/>
        </w:tabs>
        <w:ind w:left="5040" w:hanging="360"/>
      </w:pPr>
      <w:rPr>
        <w:rFonts w:ascii="Calibri" w:hAnsi="Calibri" w:hint="default"/>
      </w:rPr>
    </w:lvl>
    <w:lvl w:ilvl="7" w:tplc="C15EC88A" w:tentative="1">
      <w:start w:val="1"/>
      <w:numFmt w:val="bullet"/>
      <w:lvlText w:val="-"/>
      <w:lvlJc w:val="left"/>
      <w:pPr>
        <w:tabs>
          <w:tab w:val="num" w:pos="5760"/>
        </w:tabs>
        <w:ind w:left="5760" w:hanging="360"/>
      </w:pPr>
      <w:rPr>
        <w:rFonts w:ascii="Calibri" w:hAnsi="Calibri" w:hint="default"/>
      </w:rPr>
    </w:lvl>
    <w:lvl w:ilvl="8" w:tplc="065C3916"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58643C21"/>
    <w:multiLevelType w:val="hybridMultilevel"/>
    <w:tmpl w:val="EEFE462E"/>
    <w:lvl w:ilvl="0" w:tplc="D98A1680">
      <w:start w:val="1"/>
      <w:numFmt w:val="bullet"/>
      <w:lvlText w:val="•"/>
      <w:lvlJc w:val="left"/>
      <w:pPr>
        <w:tabs>
          <w:tab w:val="num" w:pos="720"/>
        </w:tabs>
        <w:ind w:left="720" w:hanging="360"/>
      </w:pPr>
      <w:rPr>
        <w:rFonts w:ascii="Arial" w:hAnsi="Arial" w:hint="default"/>
      </w:rPr>
    </w:lvl>
    <w:lvl w:ilvl="1" w:tplc="8D30F4BE" w:tentative="1">
      <w:start w:val="1"/>
      <w:numFmt w:val="bullet"/>
      <w:lvlText w:val="•"/>
      <w:lvlJc w:val="left"/>
      <w:pPr>
        <w:tabs>
          <w:tab w:val="num" w:pos="1440"/>
        </w:tabs>
        <w:ind w:left="1440" w:hanging="360"/>
      </w:pPr>
      <w:rPr>
        <w:rFonts w:ascii="Arial" w:hAnsi="Arial" w:hint="default"/>
      </w:rPr>
    </w:lvl>
    <w:lvl w:ilvl="2" w:tplc="DE982F2A" w:tentative="1">
      <w:start w:val="1"/>
      <w:numFmt w:val="bullet"/>
      <w:lvlText w:val="•"/>
      <w:lvlJc w:val="left"/>
      <w:pPr>
        <w:tabs>
          <w:tab w:val="num" w:pos="2160"/>
        </w:tabs>
        <w:ind w:left="2160" w:hanging="360"/>
      </w:pPr>
      <w:rPr>
        <w:rFonts w:ascii="Arial" w:hAnsi="Arial" w:hint="default"/>
      </w:rPr>
    </w:lvl>
    <w:lvl w:ilvl="3" w:tplc="A772729C" w:tentative="1">
      <w:start w:val="1"/>
      <w:numFmt w:val="bullet"/>
      <w:lvlText w:val="•"/>
      <w:lvlJc w:val="left"/>
      <w:pPr>
        <w:tabs>
          <w:tab w:val="num" w:pos="2880"/>
        </w:tabs>
        <w:ind w:left="2880" w:hanging="360"/>
      </w:pPr>
      <w:rPr>
        <w:rFonts w:ascii="Arial" w:hAnsi="Arial" w:hint="default"/>
      </w:rPr>
    </w:lvl>
    <w:lvl w:ilvl="4" w:tplc="246CC43A" w:tentative="1">
      <w:start w:val="1"/>
      <w:numFmt w:val="bullet"/>
      <w:lvlText w:val="•"/>
      <w:lvlJc w:val="left"/>
      <w:pPr>
        <w:tabs>
          <w:tab w:val="num" w:pos="3600"/>
        </w:tabs>
        <w:ind w:left="3600" w:hanging="360"/>
      </w:pPr>
      <w:rPr>
        <w:rFonts w:ascii="Arial" w:hAnsi="Arial" w:hint="default"/>
      </w:rPr>
    </w:lvl>
    <w:lvl w:ilvl="5" w:tplc="781C3A46" w:tentative="1">
      <w:start w:val="1"/>
      <w:numFmt w:val="bullet"/>
      <w:lvlText w:val="•"/>
      <w:lvlJc w:val="left"/>
      <w:pPr>
        <w:tabs>
          <w:tab w:val="num" w:pos="4320"/>
        </w:tabs>
        <w:ind w:left="4320" w:hanging="360"/>
      </w:pPr>
      <w:rPr>
        <w:rFonts w:ascii="Arial" w:hAnsi="Arial" w:hint="default"/>
      </w:rPr>
    </w:lvl>
    <w:lvl w:ilvl="6" w:tplc="F4EC8EB6" w:tentative="1">
      <w:start w:val="1"/>
      <w:numFmt w:val="bullet"/>
      <w:lvlText w:val="•"/>
      <w:lvlJc w:val="left"/>
      <w:pPr>
        <w:tabs>
          <w:tab w:val="num" w:pos="5040"/>
        </w:tabs>
        <w:ind w:left="5040" w:hanging="360"/>
      </w:pPr>
      <w:rPr>
        <w:rFonts w:ascii="Arial" w:hAnsi="Arial" w:hint="default"/>
      </w:rPr>
    </w:lvl>
    <w:lvl w:ilvl="7" w:tplc="73B8B48C" w:tentative="1">
      <w:start w:val="1"/>
      <w:numFmt w:val="bullet"/>
      <w:lvlText w:val="•"/>
      <w:lvlJc w:val="left"/>
      <w:pPr>
        <w:tabs>
          <w:tab w:val="num" w:pos="5760"/>
        </w:tabs>
        <w:ind w:left="5760" w:hanging="360"/>
      </w:pPr>
      <w:rPr>
        <w:rFonts w:ascii="Arial" w:hAnsi="Arial" w:hint="default"/>
      </w:rPr>
    </w:lvl>
    <w:lvl w:ilvl="8" w:tplc="FDE4C3D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2C3392"/>
    <w:multiLevelType w:val="hybridMultilevel"/>
    <w:tmpl w:val="59D80B04"/>
    <w:lvl w:ilvl="0" w:tplc="0276CBC8">
      <w:start w:val="1"/>
      <w:numFmt w:val="bullet"/>
      <w:lvlText w:val="-"/>
      <w:lvlJc w:val="left"/>
      <w:pPr>
        <w:tabs>
          <w:tab w:val="num" w:pos="720"/>
        </w:tabs>
        <w:ind w:left="720" w:hanging="360"/>
      </w:pPr>
      <w:rPr>
        <w:rFonts w:ascii="Calibri" w:hAnsi="Calibri" w:hint="default"/>
      </w:rPr>
    </w:lvl>
    <w:lvl w:ilvl="1" w:tplc="54B2A8F8" w:tentative="1">
      <w:start w:val="1"/>
      <w:numFmt w:val="bullet"/>
      <w:lvlText w:val="-"/>
      <w:lvlJc w:val="left"/>
      <w:pPr>
        <w:tabs>
          <w:tab w:val="num" w:pos="1440"/>
        </w:tabs>
        <w:ind w:left="1440" w:hanging="360"/>
      </w:pPr>
      <w:rPr>
        <w:rFonts w:ascii="Calibri" w:hAnsi="Calibri" w:hint="default"/>
      </w:rPr>
    </w:lvl>
    <w:lvl w:ilvl="2" w:tplc="D7BCF1F4" w:tentative="1">
      <w:start w:val="1"/>
      <w:numFmt w:val="bullet"/>
      <w:lvlText w:val="-"/>
      <w:lvlJc w:val="left"/>
      <w:pPr>
        <w:tabs>
          <w:tab w:val="num" w:pos="2160"/>
        </w:tabs>
        <w:ind w:left="2160" w:hanging="360"/>
      </w:pPr>
      <w:rPr>
        <w:rFonts w:ascii="Calibri" w:hAnsi="Calibri" w:hint="default"/>
      </w:rPr>
    </w:lvl>
    <w:lvl w:ilvl="3" w:tplc="A6A6A772" w:tentative="1">
      <w:start w:val="1"/>
      <w:numFmt w:val="bullet"/>
      <w:lvlText w:val="-"/>
      <w:lvlJc w:val="left"/>
      <w:pPr>
        <w:tabs>
          <w:tab w:val="num" w:pos="2880"/>
        </w:tabs>
        <w:ind w:left="2880" w:hanging="360"/>
      </w:pPr>
      <w:rPr>
        <w:rFonts w:ascii="Calibri" w:hAnsi="Calibri" w:hint="default"/>
      </w:rPr>
    </w:lvl>
    <w:lvl w:ilvl="4" w:tplc="70B2FA36" w:tentative="1">
      <w:start w:val="1"/>
      <w:numFmt w:val="bullet"/>
      <w:lvlText w:val="-"/>
      <w:lvlJc w:val="left"/>
      <w:pPr>
        <w:tabs>
          <w:tab w:val="num" w:pos="3600"/>
        </w:tabs>
        <w:ind w:left="3600" w:hanging="360"/>
      </w:pPr>
      <w:rPr>
        <w:rFonts w:ascii="Calibri" w:hAnsi="Calibri" w:hint="default"/>
      </w:rPr>
    </w:lvl>
    <w:lvl w:ilvl="5" w:tplc="84FA0EB4" w:tentative="1">
      <w:start w:val="1"/>
      <w:numFmt w:val="bullet"/>
      <w:lvlText w:val="-"/>
      <w:lvlJc w:val="left"/>
      <w:pPr>
        <w:tabs>
          <w:tab w:val="num" w:pos="4320"/>
        </w:tabs>
        <w:ind w:left="4320" w:hanging="360"/>
      </w:pPr>
      <w:rPr>
        <w:rFonts w:ascii="Calibri" w:hAnsi="Calibri" w:hint="default"/>
      </w:rPr>
    </w:lvl>
    <w:lvl w:ilvl="6" w:tplc="5080CF0A" w:tentative="1">
      <w:start w:val="1"/>
      <w:numFmt w:val="bullet"/>
      <w:lvlText w:val="-"/>
      <w:lvlJc w:val="left"/>
      <w:pPr>
        <w:tabs>
          <w:tab w:val="num" w:pos="5040"/>
        </w:tabs>
        <w:ind w:left="5040" w:hanging="360"/>
      </w:pPr>
      <w:rPr>
        <w:rFonts w:ascii="Calibri" w:hAnsi="Calibri" w:hint="default"/>
      </w:rPr>
    </w:lvl>
    <w:lvl w:ilvl="7" w:tplc="70FA90CC" w:tentative="1">
      <w:start w:val="1"/>
      <w:numFmt w:val="bullet"/>
      <w:lvlText w:val="-"/>
      <w:lvlJc w:val="left"/>
      <w:pPr>
        <w:tabs>
          <w:tab w:val="num" w:pos="5760"/>
        </w:tabs>
        <w:ind w:left="5760" w:hanging="360"/>
      </w:pPr>
      <w:rPr>
        <w:rFonts w:ascii="Calibri" w:hAnsi="Calibri" w:hint="default"/>
      </w:rPr>
    </w:lvl>
    <w:lvl w:ilvl="8" w:tplc="4D08A094"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75ED5792"/>
    <w:multiLevelType w:val="hybridMultilevel"/>
    <w:tmpl w:val="8000275A"/>
    <w:lvl w:ilvl="0" w:tplc="14BE3DD2">
      <w:start w:val="1"/>
      <w:numFmt w:val="bullet"/>
      <w:lvlText w:val="•"/>
      <w:lvlJc w:val="left"/>
      <w:pPr>
        <w:tabs>
          <w:tab w:val="num" w:pos="720"/>
        </w:tabs>
        <w:ind w:left="720" w:hanging="360"/>
      </w:pPr>
      <w:rPr>
        <w:rFonts w:ascii="Arial" w:hAnsi="Arial" w:hint="default"/>
      </w:rPr>
    </w:lvl>
    <w:lvl w:ilvl="1" w:tplc="1180B34E" w:tentative="1">
      <w:start w:val="1"/>
      <w:numFmt w:val="bullet"/>
      <w:lvlText w:val="•"/>
      <w:lvlJc w:val="left"/>
      <w:pPr>
        <w:tabs>
          <w:tab w:val="num" w:pos="1440"/>
        </w:tabs>
        <w:ind w:left="1440" w:hanging="360"/>
      </w:pPr>
      <w:rPr>
        <w:rFonts w:ascii="Arial" w:hAnsi="Arial" w:hint="default"/>
      </w:rPr>
    </w:lvl>
    <w:lvl w:ilvl="2" w:tplc="58F4DB8A" w:tentative="1">
      <w:start w:val="1"/>
      <w:numFmt w:val="bullet"/>
      <w:lvlText w:val="•"/>
      <w:lvlJc w:val="left"/>
      <w:pPr>
        <w:tabs>
          <w:tab w:val="num" w:pos="2160"/>
        </w:tabs>
        <w:ind w:left="2160" w:hanging="360"/>
      </w:pPr>
      <w:rPr>
        <w:rFonts w:ascii="Arial" w:hAnsi="Arial" w:hint="default"/>
      </w:rPr>
    </w:lvl>
    <w:lvl w:ilvl="3" w:tplc="C51EC2D0" w:tentative="1">
      <w:start w:val="1"/>
      <w:numFmt w:val="bullet"/>
      <w:lvlText w:val="•"/>
      <w:lvlJc w:val="left"/>
      <w:pPr>
        <w:tabs>
          <w:tab w:val="num" w:pos="2880"/>
        </w:tabs>
        <w:ind w:left="2880" w:hanging="360"/>
      </w:pPr>
      <w:rPr>
        <w:rFonts w:ascii="Arial" w:hAnsi="Arial" w:hint="default"/>
      </w:rPr>
    </w:lvl>
    <w:lvl w:ilvl="4" w:tplc="5A20EE8C" w:tentative="1">
      <w:start w:val="1"/>
      <w:numFmt w:val="bullet"/>
      <w:lvlText w:val="•"/>
      <w:lvlJc w:val="left"/>
      <w:pPr>
        <w:tabs>
          <w:tab w:val="num" w:pos="3600"/>
        </w:tabs>
        <w:ind w:left="3600" w:hanging="360"/>
      </w:pPr>
      <w:rPr>
        <w:rFonts w:ascii="Arial" w:hAnsi="Arial" w:hint="default"/>
      </w:rPr>
    </w:lvl>
    <w:lvl w:ilvl="5" w:tplc="2B8E5EC4" w:tentative="1">
      <w:start w:val="1"/>
      <w:numFmt w:val="bullet"/>
      <w:lvlText w:val="•"/>
      <w:lvlJc w:val="left"/>
      <w:pPr>
        <w:tabs>
          <w:tab w:val="num" w:pos="4320"/>
        </w:tabs>
        <w:ind w:left="4320" w:hanging="360"/>
      </w:pPr>
      <w:rPr>
        <w:rFonts w:ascii="Arial" w:hAnsi="Arial" w:hint="default"/>
      </w:rPr>
    </w:lvl>
    <w:lvl w:ilvl="6" w:tplc="DAAA5040" w:tentative="1">
      <w:start w:val="1"/>
      <w:numFmt w:val="bullet"/>
      <w:lvlText w:val="•"/>
      <w:lvlJc w:val="left"/>
      <w:pPr>
        <w:tabs>
          <w:tab w:val="num" w:pos="5040"/>
        </w:tabs>
        <w:ind w:left="5040" w:hanging="360"/>
      </w:pPr>
      <w:rPr>
        <w:rFonts w:ascii="Arial" w:hAnsi="Arial" w:hint="default"/>
      </w:rPr>
    </w:lvl>
    <w:lvl w:ilvl="7" w:tplc="0C18775E" w:tentative="1">
      <w:start w:val="1"/>
      <w:numFmt w:val="bullet"/>
      <w:lvlText w:val="•"/>
      <w:lvlJc w:val="left"/>
      <w:pPr>
        <w:tabs>
          <w:tab w:val="num" w:pos="5760"/>
        </w:tabs>
        <w:ind w:left="5760" w:hanging="360"/>
      </w:pPr>
      <w:rPr>
        <w:rFonts w:ascii="Arial" w:hAnsi="Arial" w:hint="default"/>
      </w:rPr>
    </w:lvl>
    <w:lvl w:ilvl="8" w:tplc="AE7098D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DFD1646"/>
    <w:multiLevelType w:val="hybridMultilevel"/>
    <w:tmpl w:val="57443C74"/>
    <w:lvl w:ilvl="0" w:tplc="8CD0795E">
      <w:start w:val="1"/>
      <w:numFmt w:val="bullet"/>
      <w:lvlText w:val="•"/>
      <w:lvlJc w:val="left"/>
      <w:pPr>
        <w:tabs>
          <w:tab w:val="num" w:pos="720"/>
        </w:tabs>
        <w:ind w:left="720" w:hanging="360"/>
      </w:pPr>
      <w:rPr>
        <w:rFonts w:ascii="Arial,Sans-Serif" w:hAnsi="Arial,Sans-Serif" w:hint="default"/>
      </w:rPr>
    </w:lvl>
    <w:lvl w:ilvl="1" w:tplc="AEA696DE" w:tentative="1">
      <w:start w:val="1"/>
      <w:numFmt w:val="bullet"/>
      <w:lvlText w:val="•"/>
      <w:lvlJc w:val="left"/>
      <w:pPr>
        <w:tabs>
          <w:tab w:val="num" w:pos="1440"/>
        </w:tabs>
        <w:ind w:left="1440" w:hanging="360"/>
      </w:pPr>
      <w:rPr>
        <w:rFonts w:ascii="Arial,Sans-Serif" w:hAnsi="Arial,Sans-Serif" w:hint="default"/>
      </w:rPr>
    </w:lvl>
    <w:lvl w:ilvl="2" w:tplc="38125BA6" w:tentative="1">
      <w:start w:val="1"/>
      <w:numFmt w:val="bullet"/>
      <w:lvlText w:val="•"/>
      <w:lvlJc w:val="left"/>
      <w:pPr>
        <w:tabs>
          <w:tab w:val="num" w:pos="2160"/>
        </w:tabs>
        <w:ind w:left="2160" w:hanging="360"/>
      </w:pPr>
      <w:rPr>
        <w:rFonts w:ascii="Arial,Sans-Serif" w:hAnsi="Arial,Sans-Serif" w:hint="default"/>
      </w:rPr>
    </w:lvl>
    <w:lvl w:ilvl="3" w:tplc="509C06AE" w:tentative="1">
      <w:start w:val="1"/>
      <w:numFmt w:val="bullet"/>
      <w:lvlText w:val="•"/>
      <w:lvlJc w:val="left"/>
      <w:pPr>
        <w:tabs>
          <w:tab w:val="num" w:pos="2880"/>
        </w:tabs>
        <w:ind w:left="2880" w:hanging="360"/>
      </w:pPr>
      <w:rPr>
        <w:rFonts w:ascii="Arial,Sans-Serif" w:hAnsi="Arial,Sans-Serif" w:hint="default"/>
      </w:rPr>
    </w:lvl>
    <w:lvl w:ilvl="4" w:tplc="86C0FC16" w:tentative="1">
      <w:start w:val="1"/>
      <w:numFmt w:val="bullet"/>
      <w:lvlText w:val="•"/>
      <w:lvlJc w:val="left"/>
      <w:pPr>
        <w:tabs>
          <w:tab w:val="num" w:pos="3600"/>
        </w:tabs>
        <w:ind w:left="3600" w:hanging="360"/>
      </w:pPr>
      <w:rPr>
        <w:rFonts w:ascii="Arial,Sans-Serif" w:hAnsi="Arial,Sans-Serif" w:hint="default"/>
      </w:rPr>
    </w:lvl>
    <w:lvl w:ilvl="5" w:tplc="7D082B6C" w:tentative="1">
      <w:start w:val="1"/>
      <w:numFmt w:val="bullet"/>
      <w:lvlText w:val="•"/>
      <w:lvlJc w:val="left"/>
      <w:pPr>
        <w:tabs>
          <w:tab w:val="num" w:pos="4320"/>
        </w:tabs>
        <w:ind w:left="4320" w:hanging="360"/>
      </w:pPr>
      <w:rPr>
        <w:rFonts w:ascii="Arial,Sans-Serif" w:hAnsi="Arial,Sans-Serif" w:hint="default"/>
      </w:rPr>
    </w:lvl>
    <w:lvl w:ilvl="6" w:tplc="2842B832" w:tentative="1">
      <w:start w:val="1"/>
      <w:numFmt w:val="bullet"/>
      <w:lvlText w:val="•"/>
      <w:lvlJc w:val="left"/>
      <w:pPr>
        <w:tabs>
          <w:tab w:val="num" w:pos="5040"/>
        </w:tabs>
        <w:ind w:left="5040" w:hanging="360"/>
      </w:pPr>
      <w:rPr>
        <w:rFonts w:ascii="Arial,Sans-Serif" w:hAnsi="Arial,Sans-Serif" w:hint="default"/>
      </w:rPr>
    </w:lvl>
    <w:lvl w:ilvl="7" w:tplc="E1B46AEC" w:tentative="1">
      <w:start w:val="1"/>
      <w:numFmt w:val="bullet"/>
      <w:lvlText w:val="•"/>
      <w:lvlJc w:val="left"/>
      <w:pPr>
        <w:tabs>
          <w:tab w:val="num" w:pos="5760"/>
        </w:tabs>
        <w:ind w:left="5760" w:hanging="360"/>
      </w:pPr>
      <w:rPr>
        <w:rFonts w:ascii="Arial,Sans-Serif" w:hAnsi="Arial,Sans-Serif" w:hint="default"/>
      </w:rPr>
    </w:lvl>
    <w:lvl w:ilvl="8" w:tplc="6EBEE4DC" w:tentative="1">
      <w:start w:val="1"/>
      <w:numFmt w:val="bullet"/>
      <w:lvlText w:val="•"/>
      <w:lvlJc w:val="left"/>
      <w:pPr>
        <w:tabs>
          <w:tab w:val="num" w:pos="6480"/>
        </w:tabs>
        <w:ind w:left="6480" w:hanging="360"/>
      </w:pPr>
      <w:rPr>
        <w:rFonts w:ascii="Arial,Sans-Serif" w:hAnsi="Arial,Sans-Serif" w:hint="default"/>
      </w:rPr>
    </w:lvl>
  </w:abstractNum>
  <w:num w:numId="1" w16cid:durableId="1567758507">
    <w:abstractNumId w:val="4"/>
  </w:num>
  <w:num w:numId="2" w16cid:durableId="1860267876">
    <w:abstractNumId w:val="0"/>
  </w:num>
  <w:num w:numId="3" w16cid:durableId="1209027145">
    <w:abstractNumId w:val="5"/>
  </w:num>
  <w:num w:numId="4" w16cid:durableId="1991594504">
    <w:abstractNumId w:val="3"/>
  </w:num>
  <w:num w:numId="5" w16cid:durableId="2045984254">
    <w:abstractNumId w:val="2"/>
  </w:num>
  <w:num w:numId="6" w16cid:durableId="763889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D83"/>
    <w:rsid w:val="00032B16"/>
    <w:rsid w:val="000525BA"/>
    <w:rsid w:val="00070136"/>
    <w:rsid w:val="000703D9"/>
    <w:rsid w:val="000B5AE6"/>
    <w:rsid w:val="000C0013"/>
    <w:rsid w:val="000C4A51"/>
    <w:rsid w:val="000E439E"/>
    <w:rsid w:val="001272F9"/>
    <w:rsid w:val="00142034"/>
    <w:rsid w:val="001442BE"/>
    <w:rsid w:val="00157C1A"/>
    <w:rsid w:val="001A5A09"/>
    <w:rsid w:val="001E291E"/>
    <w:rsid w:val="001F1981"/>
    <w:rsid w:val="00203EF0"/>
    <w:rsid w:val="0020497A"/>
    <w:rsid w:val="00215802"/>
    <w:rsid w:val="002878D4"/>
    <w:rsid w:val="002B2457"/>
    <w:rsid w:val="00306D83"/>
    <w:rsid w:val="003201A8"/>
    <w:rsid w:val="00322BBB"/>
    <w:rsid w:val="00332540"/>
    <w:rsid w:val="0034194A"/>
    <w:rsid w:val="0036633C"/>
    <w:rsid w:val="003B493C"/>
    <w:rsid w:val="003C1554"/>
    <w:rsid w:val="003F6449"/>
    <w:rsid w:val="003F77B9"/>
    <w:rsid w:val="00403C44"/>
    <w:rsid w:val="00407B2F"/>
    <w:rsid w:val="0041135E"/>
    <w:rsid w:val="00413D37"/>
    <w:rsid w:val="00423F21"/>
    <w:rsid w:val="004313E5"/>
    <w:rsid w:val="0049729E"/>
    <w:rsid w:val="004B6646"/>
    <w:rsid w:val="004C2325"/>
    <w:rsid w:val="004C5CCB"/>
    <w:rsid w:val="004C7D74"/>
    <w:rsid w:val="004E5D13"/>
    <w:rsid w:val="004E5F54"/>
    <w:rsid w:val="004F50F7"/>
    <w:rsid w:val="005A32AB"/>
    <w:rsid w:val="006147BB"/>
    <w:rsid w:val="006159A3"/>
    <w:rsid w:val="00632156"/>
    <w:rsid w:val="0066350E"/>
    <w:rsid w:val="0068699A"/>
    <w:rsid w:val="006C333B"/>
    <w:rsid w:val="006C4A2B"/>
    <w:rsid w:val="006C77F7"/>
    <w:rsid w:val="006D0620"/>
    <w:rsid w:val="007705DE"/>
    <w:rsid w:val="00772B14"/>
    <w:rsid w:val="00793544"/>
    <w:rsid w:val="007C5173"/>
    <w:rsid w:val="007F602E"/>
    <w:rsid w:val="008E5BE5"/>
    <w:rsid w:val="00920530"/>
    <w:rsid w:val="009269A8"/>
    <w:rsid w:val="00964EE4"/>
    <w:rsid w:val="009B13AE"/>
    <w:rsid w:val="009F1280"/>
    <w:rsid w:val="00A25B70"/>
    <w:rsid w:val="00A53539"/>
    <w:rsid w:val="00A737E9"/>
    <w:rsid w:val="00AB1C1C"/>
    <w:rsid w:val="00AF5BE7"/>
    <w:rsid w:val="00B80079"/>
    <w:rsid w:val="00C17F12"/>
    <w:rsid w:val="00C2270B"/>
    <w:rsid w:val="00C75BDB"/>
    <w:rsid w:val="00C80F90"/>
    <w:rsid w:val="00CC0C96"/>
    <w:rsid w:val="00CE1B3F"/>
    <w:rsid w:val="00D15D9D"/>
    <w:rsid w:val="00D35E2D"/>
    <w:rsid w:val="00D508E2"/>
    <w:rsid w:val="00D56887"/>
    <w:rsid w:val="00DA3A6D"/>
    <w:rsid w:val="00E239ED"/>
    <w:rsid w:val="00E96759"/>
    <w:rsid w:val="00F21AA4"/>
    <w:rsid w:val="00F634F0"/>
    <w:rsid w:val="00F8132A"/>
    <w:rsid w:val="00FC1E30"/>
    <w:rsid w:val="00FC3C13"/>
    <w:rsid w:val="00FC5607"/>
    <w:rsid w:val="01FECF1B"/>
    <w:rsid w:val="54D8EB88"/>
    <w:rsid w:val="6330D6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2DE0"/>
  <w15:chartTrackingRefBased/>
  <w15:docId w15:val="{03F4EB00-86D7-442E-9CE0-316BA0E2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06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6D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6D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6D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6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06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6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6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D83"/>
    <w:rPr>
      <w:rFonts w:eastAsiaTheme="majorEastAsia" w:cstheme="majorBidi"/>
      <w:color w:val="272727" w:themeColor="text1" w:themeTint="D8"/>
    </w:rPr>
  </w:style>
  <w:style w:type="paragraph" w:styleId="Title">
    <w:name w:val="Title"/>
    <w:basedOn w:val="Normal"/>
    <w:next w:val="Normal"/>
    <w:link w:val="TitleChar"/>
    <w:uiPriority w:val="10"/>
    <w:qFormat/>
    <w:rsid w:val="00306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D83"/>
    <w:pPr>
      <w:spacing w:before="160"/>
      <w:jc w:val="center"/>
    </w:pPr>
    <w:rPr>
      <w:i/>
      <w:iCs/>
      <w:color w:val="404040" w:themeColor="text1" w:themeTint="BF"/>
    </w:rPr>
  </w:style>
  <w:style w:type="character" w:customStyle="1" w:styleId="QuoteChar">
    <w:name w:val="Quote Char"/>
    <w:basedOn w:val="DefaultParagraphFont"/>
    <w:link w:val="Quote"/>
    <w:uiPriority w:val="29"/>
    <w:rsid w:val="00306D83"/>
    <w:rPr>
      <w:i/>
      <w:iCs/>
      <w:color w:val="404040" w:themeColor="text1" w:themeTint="BF"/>
    </w:rPr>
  </w:style>
  <w:style w:type="paragraph" w:styleId="ListParagraph">
    <w:name w:val="List Paragraph"/>
    <w:basedOn w:val="Normal"/>
    <w:uiPriority w:val="34"/>
    <w:qFormat/>
    <w:rsid w:val="00306D83"/>
    <w:pPr>
      <w:ind w:left="720"/>
      <w:contextualSpacing/>
    </w:pPr>
  </w:style>
  <w:style w:type="character" w:styleId="IntenseEmphasis">
    <w:name w:val="Intense Emphasis"/>
    <w:basedOn w:val="DefaultParagraphFont"/>
    <w:uiPriority w:val="21"/>
    <w:qFormat/>
    <w:rsid w:val="00306D83"/>
    <w:rPr>
      <w:i/>
      <w:iCs/>
      <w:color w:val="0F4761" w:themeColor="accent1" w:themeShade="BF"/>
    </w:rPr>
  </w:style>
  <w:style w:type="paragraph" w:styleId="IntenseQuote">
    <w:name w:val="Intense Quote"/>
    <w:basedOn w:val="Normal"/>
    <w:next w:val="Normal"/>
    <w:link w:val="IntenseQuoteChar"/>
    <w:uiPriority w:val="30"/>
    <w:qFormat/>
    <w:rsid w:val="00306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6D83"/>
    <w:rPr>
      <w:i/>
      <w:iCs/>
      <w:color w:val="0F4761" w:themeColor="accent1" w:themeShade="BF"/>
    </w:rPr>
  </w:style>
  <w:style w:type="character" w:styleId="IntenseReference">
    <w:name w:val="Intense Reference"/>
    <w:basedOn w:val="DefaultParagraphFont"/>
    <w:uiPriority w:val="32"/>
    <w:qFormat/>
    <w:rsid w:val="00306D83"/>
    <w:rPr>
      <w:b/>
      <w:bCs/>
      <w:smallCaps/>
      <w:color w:val="0F4761" w:themeColor="accent1" w:themeShade="BF"/>
      <w:spacing w:val="5"/>
    </w:rPr>
  </w:style>
  <w:style w:type="paragraph" w:styleId="NormalWeb">
    <w:name w:val="Normal (Web)"/>
    <w:basedOn w:val="Normal"/>
    <w:uiPriority w:val="99"/>
    <w:unhideWhenUsed/>
    <w:rsid w:val="00306D83"/>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paragraph" w:styleId="Header">
    <w:name w:val="header"/>
    <w:basedOn w:val="Normal"/>
    <w:link w:val="HeaderChar"/>
    <w:uiPriority w:val="99"/>
    <w:unhideWhenUsed/>
    <w:rsid w:val="00413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D37"/>
  </w:style>
  <w:style w:type="paragraph" w:styleId="Footer">
    <w:name w:val="footer"/>
    <w:basedOn w:val="Normal"/>
    <w:link w:val="FooterChar"/>
    <w:uiPriority w:val="99"/>
    <w:semiHidden/>
    <w:unhideWhenUsed/>
    <w:rsid w:val="00AF5BE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F5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4/relationships/chartEx" Target="charts/chartEx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ttps://orangatamarikigovtnz.sharepoint.com/sites/PMO-Privacy_Compliance_Project/Change%20documentation/Project%20planning%20and%20reporting/Reporting/Graph%20data%20for%20December%20dashboard.xlsx"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Sheet1!$A$2:$A$4</cx:f>
        <cx:lvl ptCount="3">
          <cx:pt idx="0">14 closed</cx:pt>
          <cx:pt idx="1">2 extension requested</cx:pt>
          <cx:pt idx="2">3 due by 30 March</cx:pt>
        </cx:lvl>
      </cx:strDim>
      <cx:numDim type="size">
        <cx:f>Sheet1!$B$2:$B$4</cx:f>
        <cx:lvl ptCount="3" formatCode="General">
          <cx:pt idx="0">14</cx:pt>
          <cx:pt idx="1">2</cx:pt>
          <cx:pt idx="2">3</cx:pt>
        </cx:lvl>
      </cx:numDim>
    </cx:data>
  </cx:chartData>
  <cx:chart>
    <cx:plotArea>
      <cx:plotAreaRegion>
        <cx:plotSurface>
          <cx:spPr>
            <a:solidFill>
              <a:schemeClr val="bg1"/>
            </a:solidFill>
          </cx:spPr>
        </cx:plotSurface>
        <cx:series layoutId="sunburst" uniqueId="{B35CB64C-E47F-4294-B34F-A234297719A3}">
          <cx:dataLabels pos="ctr">
            <cx:txPr>
              <a:bodyPr spcFirstLastPara="1" vertOverflow="ellipsis" horzOverflow="overflow" wrap="square" lIns="0" tIns="0" rIns="0" bIns="0" anchor="ctr" anchorCtr="1"/>
              <a:lstStyle/>
              <a:p>
                <a:pPr algn="ctr" rtl="0">
                  <a:defRPr>
                    <a:solidFill>
                      <a:schemeClr val="bg1"/>
                    </a:solidFill>
                  </a:defRPr>
                </a:pPr>
                <a:endParaRPr lang="en-US" sz="1197" b="0" i="0" u="none" strike="noStrike" baseline="0">
                  <a:solidFill>
                    <a:schemeClr val="bg1"/>
                  </a:solidFill>
                  <a:latin typeface="Arial" panose="020B0604020202020204"/>
                </a:endParaRPr>
              </a:p>
            </cx:txPr>
            <cx:visibility seriesName="0" categoryName="0" value="1"/>
            <cx:separator>, </cx:separator>
          </cx:dataLabels>
          <cx:dataId val="0"/>
        </cx:series>
      </cx:plotAreaRegion>
    </cx:plotArea>
    <cx:legend pos="b" align="ctr" overlay="0">
      <cx:txPr>
        <a:bodyPr vertOverflow="overflow" horzOverflow="overflow" wrap="square" lIns="0" tIns="0" rIns="0" bIns="0"/>
        <a:lstStyle/>
        <a:p>
          <a:pPr algn="ctr" rtl="0">
            <a:defRPr sz="1200" b="0" i="0">
              <a:solidFill>
                <a:srgbClr val="000000"/>
              </a:solidFill>
              <a:latin typeface="Calibri" panose="020F0502020204030204" pitchFamily="34" charset="0"/>
              <a:ea typeface="Calibri" panose="020F0502020204030204" pitchFamily="34" charset="0"/>
              <a:cs typeface="Calibri" panose="020F0502020204030204" pitchFamily="34" charset="0"/>
            </a:defRPr>
          </a:pPr>
          <a:endParaRPr/>
        </a:p>
      </cx:txPr>
    </cx:legend>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85">
  <cs:axisTitle>
    <cs:lnRef idx="0"/>
    <cs:fillRef idx="0"/>
    <cs:effectRef idx="0"/>
    <cs:fontRef idx="minor">
      <a:schemeClr val="tx2"/>
    </cs:fontRef>
    <cs:defRPr sz="1197"/>
  </cs:axisTitle>
  <cs:categoryAxis>
    <cs:lnRef idx="0"/>
    <cs:fillRef idx="0"/>
    <cs:effectRef idx="0"/>
    <cs:fontRef idx="minor">
      <a:schemeClr val="tx2"/>
    </cs:fontRef>
    <cs:spPr>
      <a:ln w="9525" cap="flat" cmpd="sng" algn="ctr">
        <a:solidFill>
          <a:schemeClr val="tx2">
            <a:lumMod val="15000"/>
            <a:lumOff val="85000"/>
          </a:schemeClr>
        </a:solidFill>
        <a:round/>
      </a:ln>
    </cs:spPr>
    <cs:defRPr sz="1197"/>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1197"/>
  </cs:chartArea>
  <cs:dataLabel>
    <cs:lnRef idx="0"/>
    <cs:fillRef idx="0"/>
    <cs:effectRef idx="0"/>
    <cs:fontRef idx="minor">
      <a:schemeClr val="lt1"/>
    </cs:fontRef>
    <cs:defRPr sz="1197"/>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1197"/>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2"/>
    </cs:fontRef>
    <cs:spPr>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ln>
        <a:solidFill>
          <a:schemeClr val="bg1"/>
        </a:solidFill>
      </a:ln>
    </cs:spPr>
  </cs:dataPoint>
  <cs:dataPoint3D>
    <cs:lnRef idx="0"/>
    <cs:fillRef idx="0">
      <cs:styleClr val="auto"/>
    </cs:fillRef>
    <cs:effectRef idx="0"/>
    <cs:fontRef idx="minor">
      <a:schemeClr val="tx2"/>
    </cs:fontRef>
    <cs:spPr>
      <a:solidFill>
        <a:schemeClr val="phClr"/>
      </a:solidFill>
    </cs:spPr>
  </cs:dataPoint3D>
  <cs:dataPointLine>
    <cs:lnRef idx="0">
      <cs:styleClr val="auto"/>
    </cs:lnRef>
    <cs:fillRef idx="0"/>
    <cs:effectRef idx="0"/>
    <cs:fontRef idx="minor">
      <a:schemeClr val="tx2"/>
    </cs:fontRef>
    <cs:spPr>
      <a:ln w="28575" cap="rnd">
        <a:solidFill>
          <a:schemeClr val="phClr"/>
        </a:solidFill>
        <a:round/>
      </a:ln>
    </cs:spPr>
  </cs:dataPointLine>
  <cs:dataPointMarker>
    <cs:lnRef idx="0"/>
    <cs:fillRef idx="0">
      <cs:styleClr val="auto"/>
    </cs:fillRef>
    <cs:effectRef idx="0"/>
    <cs:fontRef idx="minor">
      <a:schemeClr val="tx2"/>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2"/>
    </cs:fontRef>
    <cs:spPr>
      <a:ln w="2857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1197"/>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15000"/>
            <a:lumOff val="85000"/>
            <a:lumOff val="10000"/>
          </a:schemeClr>
        </a:solidFill>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2"/>
    </cs:fontRef>
    <cs:defRPr sz="1197"/>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1197"/>
  </cs:seriesAxis>
  <cs:seriesLine>
    <cs:lnRef idx="0"/>
    <cs:fillRef idx="0"/>
    <cs:effectRef idx="0"/>
    <cs:fontRef idx="minor">
      <a:schemeClr val="tx2"/>
    </cs:fontRef>
    <cs:spPr>
      <a:ln w="9525" cap="flat">
        <a:solidFill>
          <a:srgbClr val="D9D9D9"/>
        </a:solidFill>
        <a:round/>
      </a:ln>
    </cs:spPr>
  </cs:seriesLine>
  <cs:title>
    <cs:lnRef idx="0"/>
    <cs:fillRef idx="0"/>
    <cs:effectRef idx="0"/>
    <cs:fontRef idx="minor">
      <a:schemeClr val="tx2"/>
    </cs:fontRef>
    <cs:defRPr sz="2128" b="1"/>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1197"/>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1197"/>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60cc96-da89-441e-bd90-b380833cf737">
      <Terms xmlns="http://schemas.microsoft.com/office/infopath/2007/PartnerControls"/>
    </lcf76f155ced4ddcb4097134ff3c332f>
    <TaxCatchAll xmlns="eb41d88b-0fcb-422c-bea2-daac5c62cb57" xsi:nil="true"/>
    <_dlc_DocId xmlns="eb41d88b-0fcb-422c-bea2-daac5c62cb57">DOCS-93477213-904</_dlc_DocId>
    <_dlc_DocIdUrl xmlns="eb41d88b-0fcb-422c-bea2-daac5c62cb57">
      <Url>https://orangatamarikigovtnz.sharepoint.com/sites/PMO-Privacy_Compliance_Project/_layouts/15/DocIdRedir.aspx?ID=DOCS-93477213-904</Url>
      <Description>DOCS-93477213-904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25B9D0F2B5DA4CACF6AA1D3E09ED07" ma:contentTypeVersion="10" ma:contentTypeDescription="Create a new document." ma:contentTypeScope="" ma:versionID="ab47523e8fed23ce715e8b6c7682ab57">
  <xsd:schema xmlns:xsd="http://www.w3.org/2001/XMLSchema" xmlns:xs="http://www.w3.org/2001/XMLSchema" xmlns:p="http://schemas.microsoft.com/office/2006/metadata/properties" xmlns:ns2="eb41d88b-0fcb-422c-bea2-daac5c62cb57" xmlns:ns3="df60cc96-da89-441e-bd90-b380833cf737" targetNamespace="http://schemas.microsoft.com/office/2006/metadata/properties" ma:root="true" ma:fieldsID="961f1da6a45752eecd40d29247189a0a" ns2:_="" ns3:_="">
    <xsd:import namespace="eb41d88b-0fcb-422c-bea2-daac5c62cb57"/>
    <xsd:import namespace="df60cc96-da89-441e-bd90-b380833cf73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1d88b-0fcb-422c-bea2-daac5c62cb5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aa401f12-9941-434c-94c7-820a6923cf29}" ma:internalName="TaxCatchAll" ma:showField="CatchAllData" ma:web="eb41d88b-0fcb-422c-bea2-daac5c62cb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60cc96-da89-441e-bd90-b380833cf7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784519-933c-43c5-b045-0c289ae91e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5C8252-9372-40C9-9B42-22721848CF03}">
  <ds:schemaRefs>
    <ds:schemaRef ds:uri="http://schemas.microsoft.com/sharepoint/v3/contenttype/forms"/>
  </ds:schemaRefs>
</ds:datastoreItem>
</file>

<file path=customXml/itemProps2.xml><?xml version="1.0" encoding="utf-8"?>
<ds:datastoreItem xmlns:ds="http://schemas.openxmlformats.org/officeDocument/2006/customXml" ds:itemID="{85E25AB3-121E-4922-91F1-DFB93379FFBF}">
  <ds:schemaRefs>
    <ds:schemaRef ds:uri="http://schemas.microsoft.com/office/2006/metadata/properties"/>
    <ds:schemaRef ds:uri="http://schemas.microsoft.com/office/infopath/2007/PartnerControls"/>
    <ds:schemaRef ds:uri="df60cc96-da89-441e-bd90-b380833cf737"/>
    <ds:schemaRef ds:uri="eb41d88b-0fcb-422c-bea2-daac5c62cb57"/>
  </ds:schemaRefs>
</ds:datastoreItem>
</file>

<file path=customXml/itemProps3.xml><?xml version="1.0" encoding="utf-8"?>
<ds:datastoreItem xmlns:ds="http://schemas.openxmlformats.org/officeDocument/2006/customXml" ds:itemID="{BBE32529-67B5-4002-BF07-2C15BB35E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1d88b-0fcb-422c-bea2-daac5c62cb57"/>
    <ds:schemaRef ds:uri="df60cc96-da89-441e-bd90-b380833cf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E60A26-F025-45ED-842C-BB44F7099B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7</Pages>
  <Words>1976</Words>
  <Characters>10895</Characters>
  <Application>Microsoft Office Word</Application>
  <DocSecurity>0</DocSecurity>
  <Lines>377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Shand</dc:creator>
  <cp:keywords/>
  <dc:description/>
  <cp:lastModifiedBy>Anthony Shand</cp:lastModifiedBy>
  <cp:revision>5</cp:revision>
  <dcterms:created xsi:type="dcterms:W3CDTF">2026-03-11T03:30:00Z</dcterms:created>
  <dcterms:modified xsi:type="dcterms:W3CDTF">2026-03-11T23:22:00Z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46f0fb66,1762f9a8,49a121e2</vt:lpwstr>
  </property>
  <property fmtid="{D5CDD505-2E9C-101B-9397-08002B2CF9AE}" pid="3" name="ClassificationContentMarkingHeaderFontProps">
    <vt:lpwstr>#317100,14,Aptos</vt:lpwstr>
  </property>
  <property fmtid="{D5CDD505-2E9C-101B-9397-08002B2CF9AE}" pid="4" name="ClassificationContentMarkingHeaderText">
    <vt:lpwstr>UNCLASSIFIED</vt:lpwstr>
  </property>
  <property fmtid="{D5CDD505-2E9C-101B-9397-08002B2CF9AE}" pid="5" name="ContentTypeId">
    <vt:lpwstr>0x0101008025B9D0F2B5DA4CACF6AA1D3E09ED07</vt:lpwstr>
  </property>
  <property fmtid="{D5CDD505-2E9C-101B-9397-08002B2CF9AE}" pid="6" name="_dlc_DocIdItemGuid">
    <vt:lpwstr>81b5560d-ae12-4814-84d8-f6bd7111c204</vt:lpwstr>
  </property>
  <property fmtid="{D5CDD505-2E9C-101B-9397-08002B2CF9AE}" pid="7" name="MediaServiceImageTags">
    <vt:lpwstr/>
  </property>
  <property fmtid="{D5CDD505-2E9C-101B-9397-08002B2CF9AE}" pid="8" name="docLang">
    <vt:lpwstr>en</vt:lpwstr>
  </property>
  <property fmtid="{D5CDD505-2E9C-101B-9397-08002B2CF9AE}" pid="9" name="MSIP_Label_3affa258-d8da-4b85-b861-f8e3d51ae4d4_Enabled">
    <vt:lpwstr>true</vt:lpwstr>
  </property>
  <property fmtid="{D5CDD505-2E9C-101B-9397-08002B2CF9AE}" pid="10" name="MSIP_Label_3affa258-d8da-4b85-b861-f8e3d51ae4d4_SetDate">
    <vt:lpwstr>2026-03-11T19:55:08Z</vt:lpwstr>
  </property>
  <property fmtid="{D5CDD505-2E9C-101B-9397-08002B2CF9AE}" pid="11" name="MSIP_Label_3affa258-d8da-4b85-b861-f8e3d51ae4d4_Method">
    <vt:lpwstr>Privileged</vt:lpwstr>
  </property>
  <property fmtid="{D5CDD505-2E9C-101B-9397-08002B2CF9AE}" pid="12" name="MSIP_Label_3affa258-d8da-4b85-b861-f8e3d51ae4d4_Name">
    <vt:lpwstr>Unclassified</vt:lpwstr>
  </property>
  <property fmtid="{D5CDD505-2E9C-101B-9397-08002B2CF9AE}" pid="13" name="MSIP_Label_3affa258-d8da-4b85-b861-f8e3d51ae4d4_SiteId">
    <vt:lpwstr>5c908180-a006-403f-b9be-8829934f08dd</vt:lpwstr>
  </property>
  <property fmtid="{D5CDD505-2E9C-101B-9397-08002B2CF9AE}" pid="14" name="MSIP_Label_3affa258-d8da-4b85-b861-f8e3d51ae4d4_ActionId">
    <vt:lpwstr>c1cd1173-09e6-4b8e-b119-33b4c39c55b6</vt:lpwstr>
  </property>
  <property fmtid="{D5CDD505-2E9C-101B-9397-08002B2CF9AE}" pid="15" name="MSIP_Label_3affa258-d8da-4b85-b861-f8e3d51ae4d4_ContentBits">
    <vt:lpwstr>1</vt:lpwstr>
  </property>
  <property fmtid="{D5CDD505-2E9C-101B-9397-08002B2CF9AE}" pid="16" name="MSIP_Label_3affa258-d8da-4b85-b861-f8e3d51ae4d4_Tag">
    <vt:lpwstr>10, 0, 1, 1</vt:lpwstr>
  </property>
</Properties>
</file>